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BECB5" w14:textId="46EA294F" w:rsidR="00BE4297" w:rsidRPr="00DA29B0" w:rsidRDefault="00BE4297" w:rsidP="00133756">
      <w:pPr>
        <w:pBdr>
          <w:top w:val="single" w:sz="4" w:space="1" w:color="000000"/>
          <w:left w:val="single" w:sz="4" w:space="0" w:color="000000"/>
          <w:bottom w:val="single" w:sz="4" w:space="1" w:color="000000"/>
          <w:right w:val="single" w:sz="4" w:space="0" w:color="000000"/>
        </w:pBdr>
        <w:shd w:val="clear" w:color="auto" w:fill="CCECFF"/>
        <w:tabs>
          <w:tab w:val="left" w:pos="3720"/>
          <w:tab w:val="right" w:pos="10205"/>
        </w:tabs>
        <w:suppressAutoHyphens/>
        <w:jc w:val="center"/>
        <w:rPr>
          <w:rFonts w:ascii="Titillium Web" w:eastAsia="Times New Roman" w:hAnsi="Titillium Web" w:cs="Times New Roman"/>
          <w:b/>
          <w:bCs/>
          <w:iCs/>
          <w:sz w:val="22"/>
          <w:szCs w:val="22"/>
          <w:lang w:eastAsia="ar-SA"/>
        </w:rPr>
      </w:pPr>
      <w:r w:rsidRPr="00DA29B0">
        <w:rPr>
          <w:rFonts w:ascii="Titillium Web" w:eastAsia="Times New Roman" w:hAnsi="Titillium Web" w:cs="Times New Roman"/>
          <w:b/>
          <w:bCs/>
          <w:iCs/>
          <w:sz w:val="22"/>
          <w:szCs w:val="22"/>
          <w:lang w:eastAsia="ar-SA"/>
        </w:rPr>
        <w:t>ATTO DI IMPEGNO</w:t>
      </w:r>
    </w:p>
    <w:p w14:paraId="298AC66D" w14:textId="2E3368BD" w:rsidR="007221F9" w:rsidRPr="007221F9" w:rsidRDefault="00E40B68" w:rsidP="007221F9">
      <w:pPr>
        <w:pBdr>
          <w:top w:val="single" w:sz="4" w:space="1" w:color="000000"/>
          <w:left w:val="single" w:sz="4" w:space="0" w:color="000000"/>
          <w:bottom w:val="single" w:sz="4" w:space="1" w:color="000000"/>
          <w:right w:val="single" w:sz="4" w:space="0" w:color="000000"/>
        </w:pBdr>
        <w:shd w:val="clear" w:color="auto" w:fill="CCECFF"/>
        <w:tabs>
          <w:tab w:val="left" w:pos="3720"/>
          <w:tab w:val="right" w:pos="10205"/>
        </w:tabs>
        <w:suppressAutoHyphens/>
        <w:jc w:val="both"/>
        <w:rPr>
          <w:rFonts w:ascii="Titillium Web" w:eastAsiaTheme="minorEastAsia" w:hAnsi="Titillium Web" w:cs="Titillium Web"/>
          <w:b/>
          <w:bCs/>
          <w:iCs/>
          <w:color w:val="000000"/>
          <w:sz w:val="22"/>
          <w:szCs w:val="22"/>
          <w:lang w:eastAsia="it-IT"/>
        </w:rPr>
      </w:pPr>
      <w:r w:rsidRPr="00DA29B0">
        <w:rPr>
          <w:rFonts w:ascii="Titillium Web" w:eastAsiaTheme="minorEastAsia" w:hAnsi="Titillium Web" w:cs="Titillium Web"/>
          <w:b/>
          <w:bCs/>
          <w:color w:val="000000"/>
          <w:sz w:val="22"/>
          <w:szCs w:val="22"/>
          <w:lang w:val="x-none" w:eastAsia="it-IT"/>
        </w:rPr>
        <w:t xml:space="preserve">PROCEDURA APERTA CON APPLICAZIONE DEL CRITERIO DELL’OFFERTA ECONOMICAMENTE PIÙ VANTAGGIOSA INDIVIDUATA SULLA BASE DEL MIGLIOR RAPPORTO QUALITÀ PREZZO, AI SENSI DEGLI ARTT. </w:t>
      </w:r>
      <w:r w:rsidRPr="00DA29B0">
        <w:rPr>
          <w:rFonts w:ascii="Titillium Web" w:eastAsiaTheme="minorEastAsia" w:hAnsi="Titillium Web" w:cs="Titillium Web"/>
          <w:b/>
          <w:bCs/>
          <w:color w:val="000000"/>
          <w:sz w:val="22"/>
          <w:szCs w:val="22"/>
          <w:lang w:eastAsia="it-IT"/>
        </w:rPr>
        <w:t>71 E 108 COMMA 1</w:t>
      </w:r>
      <w:r w:rsidRPr="00DA29B0">
        <w:rPr>
          <w:rFonts w:ascii="Titillium Web" w:eastAsiaTheme="minorEastAsia" w:hAnsi="Titillium Web" w:cs="Titillium Web"/>
          <w:b/>
          <w:bCs/>
          <w:color w:val="000000"/>
          <w:sz w:val="22"/>
          <w:szCs w:val="22"/>
          <w:lang w:val="x-none" w:eastAsia="it-IT"/>
        </w:rPr>
        <w:t xml:space="preserve"> </w:t>
      </w:r>
      <w:r w:rsidRPr="00DA29B0">
        <w:rPr>
          <w:rFonts w:ascii="Titillium Web" w:eastAsiaTheme="minorEastAsia" w:hAnsi="Titillium Web" w:cs="Titillium Web"/>
          <w:b/>
          <w:bCs/>
          <w:color w:val="000000"/>
          <w:sz w:val="22"/>
          <w:szCs w:val="22"/>
          <w:lang w:eastAsia="it-IT"/>
        </w:rPr>
        <w:t xml:space="preserve">DEL D.LGS. N. 36/2023 </w:t>
      </w:r>
      <w:r w:rsidRPr="00DA29B0">
        <w:rPr>
          <w:rFonts w:ascii="Titillium Web" w:eastAsiaTheme="minorEastAsia" w:hAnsi="Titillium Web" w:cs="Titillium Web"/>
          <w:b/>
          <w:bCs/>
          <w:color w:val="000000"/>
          <w:sz w:val="22"/>
          <w:szCs w:val="22"/>
          <w:lang w:val="x-none" w:eastAsia="it-IT"/>
        </w:rPr>
        <w:t xml:space="preserve">S.M.I. AVENTE AD OGGETTO </w:t>
      </w:r>
      <w:r w:rsidR="007221F9">
        <w:rPr>
          <w:rFonts w:ascii="Titillium Web" w:eastAsiaTheme="minorEastAsia" w:hAnsi="Titillium Web" w:cs="Titillium Web"/>
          <w:b/>
          <w:bCs/>
          <w:iCs/>
          <w:color w:val="000000"/>
          <w:sz w:val="22"/>
          <w:szCs w:val="22"/>
          <w:lang w:eastAsia="it-IT"/>
        </w:rPr>
        <w:t>LA</w:t>
      </w:r>
      <w:r w:rsidR="007221F9" w:rsidRPr="007221F9">
        <w:rPr>
          <w:rFonts w:ascii="Titillium Web" w:eastAsiaTheme="minorEastAsia" w:hAnsi="Titillium Web" w:cs="Titillium Web"/>
          <w:b/>
          <w:bCs/>
          <w:iCs/>
          <w:color w:val="000000"/>
          <w:sz w:val="22"/>
          <w:szCs w:val="22"/>
          <w:lang w:eastAsia="it-IT"/>
        </w:rPr>
        <w:t xml:space="preserve"> “</w:t>
      </w:r>
      <w:r w:rsidR="007221F9" w:rsidRPr="007221F9">
        <w:rPr>
          <w:rFonts w:ascii="Titillium Web" w:eastAsiaTheme="minorEastAsia" w:hAnsi="Titillium Web" w:cs="Titillium Web"/>
          <w:b/>
          <w:bCs/>
          <w:i/>
          <w:color w:val="000000"/>
          <w:sz w:val="22"/>
          <w:szCs w:val="22"/>
          <w:lang w:eastAsia="it-IT"/>
        </w:rPr>
        <w:t>FORNITURA HARDWARE CON SOFTWARE INTEGRATO PER L'IMPLEMENTAZIONE DI UN DATA-LAKE PER LA RACCOLTA DI DATI DI TIPO MEDICO E SERVIZI CONNESSI DESTINATA A COSTITUIRE IL DATALAKE DEL PROGETTO DHEAL-COM-CODICE UNIVOCO INVESTIMENTO: PNC-E.3-2022-23683267 - CUP: E63C22003790001”.</w:t>
      </w:r>
    </w:p>
    <w:p w14:paraId="1EBAF512" w14:textId="77777777" w:rsidR="00BE4297" w:rsidRPr="00DA29B0" w:rsidRDefault="00BE4297" w:rsidP="00133756">
      <w:pPr>
        <w:tabs>
          <w:tab w:val="left" w:pos="9070"/>
        </w:tabs>
        <w:jc w:val="both"/>
        <w:rPr>
          <w:rFonts w:ascii="Titillium Web" w:hAnsi="Titillium Web" w:cs="Tahoma"/>
          <w:sz w:val="22"/>
          <w:szCs w:val="22"/>
        </w:rPr>
      </w:pPr>
    </w:p>
    <w:p w14:paraId="6BF59011" w14:textId="0DBA454B" w:rsidR="00BE4720" w:rsidRPr="00DA29B0" w:rsidRDefault="00BE4297" w:rsidP="00133756">
      <w:pPr>
        <w:tabs>
          <w:tab w:val="left" w:pos="9070"/>
        </w:tabs>
        <w:ind w:left="-142"/>
        <w:jc w:val="both"/>
        <w:rPr>
          <w:rFonts w:ascii="Titillium Web" w:hAnsi="Titillium Web" w:cs="Tahoma"/>
          <w:sz w:val="22"/>
          <w:szCs w:val="22"/>
        </w:rPr>
      </w:pPr>
      <w:r w:rsidRPr="00DA29B0">
        <w:rPr>
          <w:rFonts w:ascii="Titillium Web" w:hAnsi="Titillium Web" w:cs="Tahoma"/>
          <w:sz w:val="22"/>
          <w:szCs w:val="22"/>
        </w:rPr>
        <w:t>Il sottoscritto ____________________________,</w:t>
      </w:r>
      <w:r w:rsidR="00C83754" w:rsidRPr="00DA29B0">
        <w:rPr>
          <w:rFonts w:ascii="Titillium Web" w:hAnsi="Titillium Web" w:cs="Tahoma"/>
          <w:sz w:val="22"/>
          <w:szCs w:val="22"/>
        </w:rPr>
        <w:t xml:space="preserve"> </w:t>
      </w:r>
      <w:r w:rsidRPr="00DA29B0">
        <w:rPr>
          <w:rFonts w:ascii="Titillium Web" w:hAnsi="Titillium Web" w:cs="Tahoma"/>
          <w:sz w:val="22"/>
          <w:szCs w:val="22"/>
        </w:rPr>
        <w:t>Codice Fiscale ___________</w:t>
      </w:r>
      <w:r w:rsidR="00C83754" w:rsidRPr="00DA29B0">
        <w:rPr>
          <w:rFonts w:ascii="Titillium Web" w:hAnsi="Titillium Web" w:cs="Tahoma"/>
          <w:sz w:val="22"/>
          <w:szCs w:val="22"/>
        </w:rPr>
        <w:t>_______</w:t>
      </w:r>
      <w:r w:rsidRPr="00DA29B0">
        <w:rPr>
          <w:rFonts w:ascii="Titillium Web" w:hAnsi="Titillium Web" w:cs="Tahoma"/>
          <w:sz w:val="22"/>
          <w:szCs w:val="22"/>
        </w:rPr>
        <w:t xml:space="preserve">__, </w:t>
      </w:r>
    </w:p>
    <w:p w14:paraId="694F4C8B" w14:textId="44768039" w:rsidR="00BE4720" w:rsidRPr="00DA29B0" w:rsidRDefault="00BE4297" w:rsidP="00133756">
      <w:pPr>
        <w:tabs>
          <w:tab w:val="left" w:pos="9070"/>
        </w:tabs>
        <w:ind w:left="-142"/>
        <w:jc w:val="both"/>
        <w:rPr>
          <w:rFonts w:ascii="Titillium Web" w:hAnsi="Titillium Web" w:cs="Tahoma"/>
          <w:sz w:val="22"/>
          <w:szCs w:val="22"/>
        </w:rPr>
      </w:pPr>
      <w:r w:rsidRPr="00DA29B0">
        <w:rPr>
          <w:rFonts w:ascii="Titillium Web" w:hAnsi="Titillium Web" w:cs="Tahoma"/>
          <w:sz w:val="22"/>
          <w:szCs w:val="22"/>
        </w:rPr>
        <w:t>in rappresentanza dell’operatore economico (denominazione e forma giuridica) ____________</w:t>
      </w:r>
      <w:r w:rsidR="00C83754" w:rsidRPr="00DA29B0">
        <w:rPr>
          <w:rFonts w:ascii="Titillium Web" w:hAnsi="Titillium Web" w:cs="Tahoma"/>
          <w:sz w:val="22"/>
          <w:szCs w:val="22"/>
        </w:rPr>
        <w:t>____</w:t>
      </w:r>
    </w:p>
    <w:p w14:paraId="6A1A4A1D" w14:textId="3F01DB8D" w:rsidR="00C83754" w:rsidRPr="00DA29B0" w:rsidRDefault="00C83754" w:rsidP="00133756">
      <w:pPr>
        <w:tabs>
          <w:tab w:val="left" w:pos="9070"/>
        </w:tabs>
        <w:ind w:left="-142"/>
        <w:jc w:val="both"/>
        <w:rPr>
          <w:rFonts w:ascii="Titillium Web" w:hAnsi="Titillium Web" w:cs="Tahoma"/>
          <w:sz w:val="22"/>
          <w:szCs w:val="22"/>
        </w:rPr>
      </w:pPr>
      <w:r w:rsidRPr="00DA29B0">
        <w:rPr>
          <w:rFonts w:ascii="Titillium Web" w:hAnsi="Titillium Web" w:cs="Tahoma"/>
          <w:sz w:val="22"/>
          <w:szCs w:val="22"/>
        </w:rPr>
        <w:t>____________________________________________________________________</w:t>
      </w:r>
    </w:p>
    <w:p w14:paraId="1C00487D" w14:textId="486B1455" w:rsidR="00BE4297" w:rsidRPr="000C3914" w:rsidRDefault="00BE4297" w:rsidP="00133756">
      <w:pPr>
        <w:tabs>
          <w:tab w:val="left" w:pos="9070"/>
        </w:tabs>
        <w:ind w:left="-142"/>
        <w:jc w:val="both"/>
        <w:rPr>
          <w:rFonts w:ascii="Titillium Web" w:hAnsi="Titillium Web" w:cs="Tahoma"/>
          <w:sz w:val="22"/>
          <w:szCs w:val="22"/>
        </w:rPr>
      </w:pPr>
      <w:r w:rsidRPr="00DA29B0">
        <w:rPr>
          <w:rFonts w:ascii="Titillium Web" w:hAnsi="Titillium Web" w:cs="Tahoma"/>
          <w:sz w:val="22"/>
          <w:szCs w:val="22"/>
        </w:rPr>
        <w:t xml:space="preserve">(di seguito “Concorrente”) partecipante alla </w:t>
      </w:r>
      <w:r w:rsidR="006F29BE" w:rsidRPr="00DA29B0">
        <w:rPr>
          <w:rFonts w:ascii="Titillium Web" w:hAnsi="Titillium Web" w:cs="Tahoma"/>
          <w:sz w:val="22"/>
          <w:szCs w:val="22"/>
        </w:rPr>
        <w:t xml:space="preserve">Procedura </w:t>
      </w:r>
      <w:r w:rsidR="00CF29C4" w:rsidRPr="00DA29B0">
        <w:rPr>
          <w:rFonts w:ascii="Titillium Web" w:hAnsi="Titillium Web" w:cs="Tahoma"/>
          <w:sz w:val="22"/>
          <w:szCs w:val="22"/>
        </w:rPr>
        <w:t>di gara</w:t>
      </w:r>
      <w:r w:rsidR="00BE4720" w:rsidRPr="00DA29B0">
        <w:rPr>
          <w:rFonts w:ascii="Titillium Web" w:hAnsi="Titillium Web" w:cs="Tahoma"/>
          <w:sz w:val="22"/>
          <w:szCs w:val="22"/>
        </w:rPr>
        <w:t xml:space="preserve"> </w:t>
      </w:r>
      <w:r w:rsidR="0012597F" w:rsidRPr="00DA29B0">
        <w:rPr>
          <w:rFonts w:ascii="Titillium Web" w:eastAsiaTheme="minorEastAsia" w:hAnsi="Titillium Web" w:cs="Titillium Web"/>
          <w:color w:val="000000"/>
          <w:sz w:val="22"/>
          <w:szCs w:val="22"/>
          <w:lang w:eastAsia="it-IT"/>
        </w:rPr>
        <w:t>degli artt. 71</w:t>
      </w:r>
      <w:r w:rsidR="0012597F" w:rsidRPr="00DA29B0">
        <w:rPr>
          <w:rFonts w:ascii="Titillium Web" w:eastAsia="Calibri" w:hAnsi="Titillium Web" w:cs="Calibri"/>
          <w:sz w:val="22"/>
          <w:szCs w:val="22"/>
          <w:lang w:eastAsia="x-none"/>
        </w:rPr>
        <w:t xml:space="preserve"> e 108 comma 1</w:t>
      </w:r>
      <w:r w:rsidR="0012597F" w:rsidRPr="00DA29B0">
        <w:rPr>
          <w:rFonts w:ascii="Titillium Web" w:eastAsia="Calibri" w:hAnsi="Titillium Web" w:cs="Calibri"/>
          <w:sz w:val="22"/>
          <w:szCs w:val="22"/>
          <w:lang w:val="x-none" w:eastAsia="x-none"/>
        </w:rPr>
        <w:t xml:space="preserve"> </w:t>
      </w:r>
      <w:r w:rsidR="0012597F" w:rsidRPr="00DA29B0">
        <w:rPr>
          <w:rFonts w:ascii="Titillium Web" w:eastAsia="Calibri" w:hAnsi="Titillium Web" w:cs="Calibri"/>
          <w:sz w:val="22"/>
          <w:szCs w:val="22"/>
          <w:lang w:eastAsia="x-none"/>
        </w:rPr>
        <w:t xml:space="preserve">del D.LGS. N. 36/2023 </w:t>
      </w:r>
      <w:r w:rsidR="008B575D" w:rsidRPr="00DA29B0">
        <w:rPr>
          <w:rFonts w:ascii="Titillium Web" w:eastAsia="Calibri" w:hAnsi="Titillium Web" w:cs="Calibri"/>
          <w:sz w:val="22"/>
          <w:szCs w:val="22"/>
          <w:lang w:val="x-none" w:eastAsia="x-none"/>
        </w:rPr>
        <w:t xml:space="preserve">s.m.i. </w:t>
      </w:r>
      <w:r w:rsidR="00BE4720" w:rsidRPr="00DA29B0">
        <w:rPr>
          <w:rFonts w:ascii="Titillium Web" w:hAnsi="Titillium Web" w:cs="Tahoma"/>
          <w:sz w:val="22"/>
          <w:szCs w:val="22"/>
        </w:rPr>
        <w:t xml:space="preserve">relativo </w:t>
      </w:r>
      <w:r w:rsidR="00CF29C4" w:rsidRPr="00DA29B0">
        <w:rPr>
          <w:rFonts w:ascii="Titillium Web" w:hAnsi="Titillium Web" w:cs="Tahoma"/>
          <w:sz w:val="22"/>
          <w:szCs w:val="22"/>
        </w:rPr>
        <w:t>all’acquisto</w:t>
      </w:r>
      <w:r w:rsidR="00BE4720" w:rsidRPr="00DA29B0">
        <w:rPr>
          <w:rFonts w:ascii="Titillium Web" w:hAnsi="Titillium Web" w:cs="Tahoma"/>
          <w:sz w:val="22"/>
          <w:szCs w:val="22"/>
        </w:rPr>
        <w:t xml:space="preserve"> </w:t>
      </w:r>
      <w:r w:rsidR="008B575D" w:rsidRPr="00DA29B0">
        <w:rPr>
          <w:rFonts w:ascii="Titillium Web" w:hAnsi="Titillium Web"/>
          <w:sz w:val="22"/>
          <w:szCs w:val="22"/>
        </w:rPr>
        <w:t>un “</w:t>
      </w:r>
      <w:r w:rsidR="000C3914">
        <w:rPr>
          <w:rFonts w:ascii="Titillium Web" w:hAnsi="Titillium Web"/>
          <w:i/>
          <w:iCs/>
          <w:sz w:val="22"/>
          <w:szCs w:val="22"/>
        </w:rPr>
        <w:t>___________</w:t>
      </w:r>
      <w:r w:rsidR="008B575D" w:rsidRPr="00DA29B0">
        <w:rPr>
          <w:rFonts w:ascii="Titillium Web" w:hAnsi="Titillium Web"/>
          <w:sz w:val="22"/>
          <w:szCs w:val="22"/>
        </w:rPr>
        <w:t xml:space="preserve">” </w:t>
      </w:r>
      <w:r w:rsidR="008B575D" w:rsidRPr="00DA29B0">
        <w:rPr>
          <w:rFonts w:ascii="Titillium Web" w:hAnsi="Titillium Web"/>
          <w:iCs/>
          <w:sz w:val="22"/>
          <w:szCs w:val="22"/>
        </w:rPr>
        <w:t xml:space="preserve">presso </w:t>
      </w:r>
      <w:r w:rsidR="000C3914">
        <w:rPr>
          <w:rFonts w:ascii="Titillium Web" w:hAnsi="Titillium Web"/>
          <w:iCs/>
          <w:sz w:val="22"/>
          <w:szCs w:val="22"/>
        </w:rPr>
        <w:t>___________</w:t>
      </w:r>
      <w:r w:rsidR="008B575D" w:rsidRPr="00DA29B0">
        <w:rPr>
          <w:rFonts w:ascii="Titillium Web" w:hAnsi="Titillium Web"/>
          <w:iCs/>
          <w:sz w:val="22"/>
          <w:szCs w:val="22"/>
        </w:rPr>
        <w:t xml:space="preserve">dell’Università degli Studi </w:t>
      </w:r>
      <w:r w:rsidR="008B575D" w:rsidRPr="000C3914">
        <w:rPr>
          <w:rFonts w:ascii="Titillium Web" w:hAnsi="Titillium Web"/>
          <w:iCs/>
          <w:sz w:val="22"/>
          <w:szCs w:val="22"/>
        </w:rPr>
        <w:t xml:space="preserve">Di Napoli Federico II </w:t>
      </w:r>
    </w:p>
    <w:p w14:paraId="639A980E" w14:textId="77777777" w:rsidR="00C83754" w:rsidRPr="000C3914" w:rsidRDefault="00C83754" w:rsidP="00133756">
      <w:pPr>
        <w:tabs>
          <w:tab w:val="left" w:pos="9070"/>
        </w:tabs>
        <w:ind w:left="-142"/>
        <w:jc w:val="both"/>
        <w:rPr>
          <w:rFonts w:ascii="Titillium Web" w:hAnsi="Titillium Web" w:cs="Tahoma"/>
          <w:sz w:val="22"/>
          <w:szCs w:val="22"/>
        </w:rPr>
      </w:pPr>
    </w:p>
    <w:p w14:paraId="55675122" w14:textId="77777777" w:rsidR="000C3914" w:rsidRDefault="00BE4297" w:rsidP="000C3914">
      <w:pPr>
        <w:tabs>
          <w:tab w:val="left" w:pos="9070"/>
        </w:tabs>
        <w:ind w:left="-142"/>
        <w:jc w:val="both"/>
        <w:rPr>
          <w:rFonts w:ascii="Titillium Web" w:hAnsi="Titillium Web" w:cs="Tahoma"/>
          <w:sz w:val="22"/>
          <w:szCs w:val="22"/>
        </w:rPr>
      </w:pPr>
      <w:r w:rsidRPr="000C3914">
        <w:rPr>
          <w:rFonts w:ascii="Titillium Web" w:hAnsi="Titillium Web" w:cs="Tahoma"/>
          <w:sz w:val="22"/>
          <w:szCs w:val="22"/>
        </w:rPr>
        <w:t>Considerato:</w:t>
      </w:r>
    </w:p>
    <w:p w14:paraId="5F84A00E" w14:textId="77777777" w:rsidR="000C3914" w:rsidRDefault="000C3914" w:rsidP="000C3914">
      <w:pPr>
        <w:tabs>
          <w:tab w:val="left" w:pos="9070"/>
        </w:tabs>
        <w:ind w:left="-142"/>
        <w:jc w:val="both"/>
        <w:rPr>
          <w:rFonts w:ascii="Titillium Web" w:hAnsi="Titillium Web" w:cs="Tahoma"/>
          <w:sz w:val="22"/>
          <w:szCs w:val="22"/>
        </w:rPr>
      </w:pPr>
    </w:p>
    <w:p w14:paraId="237A1405" w14:textId="00700FF9" w:rsidR="00A4640C" w:rsidRPr="00D60135" w:rsidRDefault="0048005A" w:rsidP="00D60135">
      <w:pPr>
        <w:pStyle w:val="Paragrafoelenco"/>
        <w:numPr>
          <w:ilvl w:val="0"/>
          <w:numId w:val="30"/>
        </w:numPr>
        <w:jc w:val="both"/>
        <w:rPr>
          <w:rFonts w:ascii="Titillium Web" w:hAnsi="Titillium Web" w:cs="Tahoma"/>
          <w:sz w:val="22"/>
          <w:szCs w:val="22"/>
        </w:rPr>
      </w:pPr>
      <w:r w:rsidRPr="00D60135">
        <w:rPr>
          <w:rFonts w:ascii="Titillium Web" w:hAnsi="Titillium Web" w:cs="Tahoma"/>
          <w:sz w:val="22"/>
          <w:szCs w:val="22"/>
        </w:rPr>
        <w:t xml:space="preserve">Il Progetto </w:t>
      </w:r>
      <w:r w:rsidR="00A4640C" w:rsidRPr="00D60135">
        <w:rPr>
          <w:rFonts w:ascii="Titillium Web" w:hAnsi="Titillium Web" w:cs="Tahoma"/>
          <w:sz w:val="22"/>
          <w:szCs w:val="22"/>
        </w:rPr>
        <w:t>Hub Life Science – Digital Health (LSH-DH) PNC-E3-2022-23683267 DHEAL-COM- finanziato dal Ministero della Salute nell’ambito del Piano Nazionale Complementare (PNC) al Piano Nazionale di Ripresa e Resilienza Ecosistema Innovativo della Salute - Codice univoco investimento: PNC-E.3</w:t>
      </w:r>
      <w:r w:rsidR="0091633A" w:rsidRPr="00D60135">
        <w:rPr>
          <w:rFonts w:ascii="Titillium Web" w:hAnsi="Titillium Web" w:cs="Tahoma"/>
          <w:sz w:val="22"/>
          <w:szCs w:val="22"/>
        </w:rPr>
        <w:t xml:space="preserve"> - </w:t>
      </w:r>
      <w:r w:rsidR="00A4640C" w:rsidRPr="00D60135">
        <w:rPr>
          <w:rFonts w:ascii="Titillium Web" w:hAnsi="Titillium Web" w:cs="Tahoma"/>
          <w:sz w:val="22"/>
          <w:szCs w:val="22"/>
        </w:rPr>
        <w:t>CUP E63C22003790001</w:t>
      </w:r>
      <w:r w:rsidR="0091633A" w:rsidRPr="00D60135">
        <w:rPr>
          <w:rFonts w:ascii="Titillium Web" w:hAnsi="Titillium Web" w:cs="Tahoma"/>
          <w:sz w:val="22"/>
          <w:szCs w:val="22"/>
        </w:rPr>
        <w:t xml:space="preserve"> - in attuazione del quale è richiesta, tra l’altro, la fornitura di hardware con software integrato per l'implementazione di un data</w:t>
      </w:r>
      <w:r w:rsidR="006C4B7B">
        <w:rPr>
          <w:rFonts w:ascii="Titillium Web" w:hAnsi="Titillium Web" w:cs="Tahoma"/>
          <w:sz w:val="22"/>
          <w:szCs w:val="22"/>
        </w:rPr>
        <w:t>-</w:t>
      </w:r>
      <w:proofErr w:type="spellStart"/>
      <w:r w:rsidR="0091633A" w:rsidRPr="00D60135">
        <w:rPr>
          <w:rFonts w:ascii="Titillium Web" w:hAnsi="Titillium Web" w:cs="Tahoma"/>
          <w:sz w:val="22"/>
          <w:szCs w:val="22"/>
        </w:rPr>
        <w:t>lake</w:t>
      </w:r>
      <w:proofErr w:type="spellEnd"/>
      <w:r w:rsidR="0091633A" w:rsidRPr="00D60135">
        <w:rPr>
          <w:rFonts w:ascii="Titillium Web" w:hAnsi="Titillium Web" w:cs="Tahoma"/>
          <w:sz w:val="22"/>
          <w:szCs w:val="22"/>
        </w:rPr>
        <w:t xml:space="preserve"> per la raccolta di dati di tipo medico e servizi connessi per l’importo a base d’asta di euro 451.400,00 oltre IVA del Centro Interdipartimentale di ricerca in Management Sanitario e Innovazione in Sanità CIRMIS dell’Università degli Studi di Napoli Federico II</w:t>
      </w:r>
      <w:r w:rsidR="00D60135" w:rsidRPr="00D60135">
        <w:rPr>
          <w:rFonts w:ascii="Titillium Web" w:hAnsi="Titillium Web" w:cs="Tahoma"/>
          <w:sz w:val="22"/>
          <w:szCs w:val="22"/>
        </w:rPr>
        <w:t>;</w:t>
      </w:r>
    </w:p>
    <w:p w14:paraId="63BF27CE" w14:textId="44003EA5" w:rsidR="00D60135" w:rsidRPr="00D60135" w:rsidRDefault="00D60135" w:rsidP="00D60135">
      <w:pPr>
        <w:pStyle w:val="Paragrafoelenco"/>
        <w:numPr>
          <w:ilvl w:val="0"/>
          <w:numId w:val="30"/>
        </w:numPr>
        <w:jc w:val="both"/>
        <w:rPr>
          <w:rFonts w:ascii="Titillium Web" w:hAnsi="Titillium Web" w:cs="Tahoma"/>
          <w:sz w:val="22"/>
          <w:szCs w:val="22"/>
        </w:rPr>
      </w:pPr>
      <w:r w:rsidRPr="00D60135">
        <w:rPr>
          <w:rFonts w:ascii="Titillium Web" w:hAnsi="Titillium Web" w:cs="Tahoma"/>
          <w:sz w:val="22"/>
          <w:szCs w:val="22"/>
        </w:rPr>
        <w:t>la delibera del C.d.A. n. 117 del 03/04/2025, con la quale, ai sensi dell’articolo 37 del Codice,  è stata approvata la programmazione triennale degli acquisti di beni e servizi relativa al triennio 2025/2027, che contempla, per l’annualità 2025, anche il seguente intervento “Fornitura hardware con software integrato per l'implementazione di un data-</w:t>
      </w:r>
      <w:proofErr w:type="spellStart"/>
      <w:r w:rsidRPr="00D60135">
        <w:rPr>
          <w:rFonts w:ascii="Titillium Web" w:hAnsi="Titillium Web" w:cs="Tahoma"/>
          <w:sz w:val="22"/>
          <w:szCs w:val="22"/>
        </w:rPr>
        <w:t>lake</w:t>
      </w:r>
      <w:proofErr w:type="spellEnd"/>
      <w:r w:rsidRPr="00D60135">
        <w:rPr>
          <w:rFonts w:ascii="Titillium Web" w:hAnsi="Titillium Web" w:cs="Tahoma"/>
          <w:sz w:val="22"/>
          <w:szCs w:val="22"/>
        </w:rPr>
        <w:t xml:space="preserve"> per la raccolta di dati di tipo medico e servizi connessi” con codice CUI F00876220633202500004, per l’importo complessivo (comprensivo di IVA) pari ad € 451.400,00.</w:t>
      </w:r>
    </w:p>
    <w:p w14:paraId="4053D3C2" w14:textId="77777777" w:rsidR="00264EE8" w:rsidRPr="00DA29B0" w:rsidRDefault="00264EE8" w:rsidP="00A4640C">
      <w:pPr>
        <w:tabs>
          <w:tab w:val="left" w:pos="9070"/>
        </w:tabs>
        <w:jc w:val="both"/>
        <w:rPr>
          <w:rFonts w:ascii="Titillium Web" w:hAnsi="Titillium Web" w:cs="Tahoma"/>
          <w:sz w:val="22"/>
          <w:szCs w:val="22"/>
        </w:rPr>
      </w:pPr>
    </w:p>
    <w:p w14:paraId="16A396AD" w14:textId="77777777" w:rsidR="00BE4297" w:rsidRPr="00DA29B0" w:rsidRDefault="00BE4297" w:rsidP="00133756">
      <w:pPr>
        <w:tabs>
          <w:tab w:val="left" w:pos="8136"/>
        </w:tabs>
        <w:spacing w:line="276" w:lineRule="auto"/>
        <w:jc w:val="center"/>
        <w:rPr>
          <w:rFonts w:ascii="Titillium Web" w:hAnsi="Titillium Web" w:cs="Tahoma"/>
          <w:sz w:val="22"/>
          <w:szCs w:val="22"/>
        </w:rPr>
      </w:pPr>
      <w:r w:rsidRPr="00DA29B0">
        <w:rPr>
          <w:rFonts w:ascii="Titillium Web" w:hAnsi="Titillium Web" w:cs="Tahoma"/>
          <w:sz w:val="22"/>
          <w:szCs w:val="22"/>
        </w:rPr>
        <w:t>con il presente Atto</w:t>
      </w:r>
    </w:p>
    <w:p w14:paraId="1CD832B5" w14:textId="77777777" w:rsidR="00BE4297" w:rsidRPr="00DA29B0" w:rsidRDefault="00BE4297" w:rsidP="00133756">
      <w:pPr>
        <w:tabs>
          <w:tab w:val="left" w:pos="8136"/>
        </w:tabs>
        <w:spacing w:line="276" w:lineRule="auto"/>
        <w:jc w:val="both"/>
        <w:rPr>
          <w:rFonts w:ascii="Titillium Web" w:hAnsi="Titillium Web" w:cs="Tahoma"/>
          <w:sz w:val="22"/>
          <w:szCs w:val="22"/>
        </w:rPr>
      </w:pPr>
    </w:p>
    <w:p w14:paraId="2D1E04A6" w14:textId="77777777" w:rsidR="00BE4297" w:rsidRPr="00DA29B0" w:rsidRDefault="00BE4297" w:rsidP="00133756">
      <w:pPr>
        <w:tabs>
          <w:tab w:val="left" w:pos="8136"/>
        </w:tabs>
        <w:spacing w:line="276" w:lineRule="auto"/>
        <w:jc w:val="both"/>
        <w:rPr>
          <w:rFonts w:ascii="Titillium Web" w:hAnsi="Titillium Web" w:cs="Tahoma"/>
          <w:sz w:val="22"/>
          <w:szCs w:val="22"/>
        </w:rPr>
      </w:pPr>
      <w:r w:rsidRPr="00DA29B0">
        <w:rPr>
          <w:rFonts w:ascii="Titillium Web" w:hAnsi="Titillium Web" w:cs="Tahoma"/>
          <w:sz w:val="22"/>
          <w:szCs w:val="22"/>
        </w:rPr>
        <w:lastRenderedPageBreak/>
        <w:t xml:space="preserve">l’operatore identificato in epigrafe assume espressamente ed irrevocabilmente tutti – nessuno escluso – i seguenti vincoli, oneri ed impegni e, pertanto, dichiara ai sensi degli artt. 46 e 47 del D.P.R. n. 445/2000 e s.m.i., consapevole delle sanzioni penali di cui all’art. 76 del medesimo decreto: </w:t>
      </w:r>
    </w:p>
    <w:p w14:paraId="73A5254D" w14:textId="77777777" w:rsidR="00BE4297" w:rsidRPr="00DA29B0" w:rsidRDefault="00BE4297" w:rsidP="00133756">
      <w:pPr>
        <w:tabs>
          <w:tab w:val="left" w:pos="8136"/>
        </w:tabs>
        <w:spacing w:line="276" w:lineRule="auto"/>
        <w:jc w:val="both"/>
        <w:rPr>
          <w:rFonts w:ascii="Titillium Web" w:hAnsi="Titillium Web" w:cs="Tahoma"/>
          <w:sz w:val="22"/>
          <w:szCs w:val="22"/>
        </w:rPr>
      </w:pPr>
      <w:r w:rsidRPr="00DA29B0">
        <w:rPr>
          <w:rFonts w:ascii="Titillium Web" w:hAnsi="Titillium Web" w:cs="Tahoma"/>
          <w:b/>
          <w:bCs/>
          <w:sz w:val="22"/>
          <w:szCs w:val="22"/>
        </w:rPr>
        <w:t>1.</w:t>
      </w:r>
      <w:r w:rsidRPr="00DA29B0">
        <w:rPr>
          <w:rFonts w:ascii="Titillium Web" w:hAnsi="Titillium Web" w:cs="Tahoma"/>
          <w:sz w:val="22"/>
          <w:szCs w:val="22"/>
        </w:rPr>
        <w:t xml:space="preserve"> di avere piena conoscenza della Documentazione relativa alla procedura di gara, di accettarne e di rispettarne tutte le disposizioni ivi contenute;</w:t>
      </w:r>
    </w:p>
    <w:p w14:paraId="2194E260" w14:textId="77777777" w:rsidR="00BE4297" w:rsidRPr="00DA29B0" w:rsidRDefault="00BE4297" w:rsidP="00133756">
      <w:pPr>
        <w:tabs>
          <w:tab w:val="left" w:pos="8136"/>
        </w:tabs>
        <w:spacing w:line="276" w:lineRule="auto"/>
        <w:jc w:val="both"/>
        <w:rPr>
          <w:rFonts w:ascii="Titillium Web" w:hAnsi="Titillium Web" w:cs="Tahoma"/>
          <w:b/>
          <w:bCs/>
          <w:sz w:val="22"/>
          <w:szCs w:val="22"/>
        </w:rPr>
      </w:pPr>
    </w:p>
    <w:p w14:paraId="67BD49D3" w14:textId="77777777" w:rsidR="00BE4297" w:rsidRPr="00DA29B0" w:rsidRDefault="00BE4297" w:rsidP="00133756">
      <w:pPr>
        <w:tabs>
          <w:tab w:val="left" w:pos="8136"/>
        </w:tabs>
        <w:spacing w:line="276" w:lineRule="auto"/>
        <w:jc w:val="both"/>
        <w:rPr>
          <w:rFonts w:ascii="Titillium Web" w:hAnsi="Titillium Web" w:cs="Tahoma"/>
          <w:sz w:val="22"/>
          <w:szCs w:val="22"/>
        </w:rPr>
      </w:pPr>
      <w:r w:rsidRPr="00DA29B0">
        <w:rPr>
          <w:rFonts w:ascii="Titillium Web" w:hAnsi="Titillium Web" w:cs="Tahoma"/>
          <w:b/>
          <w:bCs/>
          <w:sz w:val="22"/>
          <w:szCs w:val="22"/>
        </w:rPr>
        <w:t>2.</w:t>
      </w:r>
      <w:r w:rsidRPr="00DA29B0">
        <w:rPr>
          <w:rFonts w:ascii="Titillium Web" w:hAnsi="Titillium Web" w:cs="Tahoma"/>
          <w:sz w:val="22"/>
          <w:szCs w:val="22"/>
        </w:rPr>
        <w:t xml:space="preserve"> di impegnarsi (laddove occupi un numero pari o superiore a cinquanta dipendenti e sia tenuto a redigere il rapporto sulla situazione del personale ai sensi dell’art. 46 del decreto legislativo 11 aprile 2006, n. 198), a produrre, a pena di  esclusione, copia dell’ultimo rapporto redatto, con attestazione della sua conformità a quello eventualmente trasmesso alle rappresentanze sindacali aziendali e alla consigliera e al consigliere regionale di parità, ovvero, in caso  di inosservanza dei termini previsti dal comma 1 del medesimo art. 46, con attestazione della sua contestuale trasmissione alle rappresentanze sindacali aziendali e alla consigliera e al consigliere regionale di parità;  </w:t>
      </w:r>
    </w:p>
    <w:p w14:paraId="63C61265" w14:textId="77777777" w:rsidR="00BE4297" w:rsidRPr="00DA29B0" w:rsidRDefault="00BE4297" w:rsidP="00133756">
      <w:pPr>
        <w:tabs>
          <w:tab w:val="left" w:pos="8136"/>
        </w:tabs>
        <w:spacing w:line="276" w:lineRule="auto"/>
        <w:jc w:val="both"/>
        <w:rPr>
          <w:rFonts w:ascii="Titillium Web" w:hAnsi="Titillium Web" w:cs="Tahoma"/>
          <w:b/>
          <w:bCs/>
          <w:sz w:val="22"/>
          <w:szCs w:val="22"/>
        </w:rPr>
      </w:pPr>
    </w:p>
    <w:p w14:paraId="40BC985D" w14:textId="77777777" w:rsidR="00BE4297" w:rsidRPr="00DA29B0" w:rsidRDefault="00BE4297" w:rsidP="00133756">
      <w:pPr>
        <w:tabs>
          <w:tab w:val="left" w:pos="8136"/>
        </w:tabs>
        <w:spacing w:line="276" w:lineRule="auto"/>
        <w:jc w:val="both"/>
        <w:rPr>
          <w:rFonts w:ascii="Titillium Web" w:hAnsi="Titillium Web" w:cs="Tahoma"/>
          <w:iCs/>
          <w:sz w:val="22"/>
          <w:szCs w:val="22"/>
        </w:rPr>
      </w:pPr>
      <w:r w:rsidRPr="00DA29B0">
        <w:rPr>
          <w:rFonts w:ascii="Titillium Web" w:hAnsi="Titillium Web" w:cs="Tahoma"/>
          <w:b/>
          <w:bCs/>
          <w:sz w:val="22"/>
          <w:szCs w:val="22"/>
        </w:rPr>
        <w:t>3.</w:t>
      </w:r>
      <w:r w:rsidRPr="00DA29B0">
        <w:rPr>
          <w:rFonts w:ascii="Titillium Web" w:hAnsi="Titillium Web" w:cs="Tahoma"/>
          <w:sz w:val="22"/>
          <w:szCs w:val="22"/>
        </w:rPr>
        <w:t xml:space="preserve"> di impegnarsi (laddove occupi un numero pari o superiore a quindici dipendenti e non superiore a cinquanta e non  sia tenuto alla redazione del rapporto sulla situazione del personale, ai sensi dell’articolo 46 del decreto legislativo 11 aprile 2006, n. 198) a consegnare, entro sei mesi dalla conclusione del contratto,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ed a trasmettere la predetta alle rappresentanze sindacali aziendali e alla consigliera e al consigliere regionale di parità, pena l’applicazione delle penali di cui all’articolo 47, comma 6 del decreto-legge 31 maggio 2021 n. 77, convertito con modificazioni dalla legge 29 luglio 2021 n. 108</w:t>
      </w:r>
      <w:r w:rsidRPr="00DA29B0">
        <w:rPr>
          <w:rFonts w:ascii="Titillium Web" w:hAnsi="Titillium Web" w:cs="Tahoma"/>
          <w:iCs/>
          <w:sz w:val="22"/>
          <w:szCs w:val="22"/>
        </w:rPr>
        <w:t>;</w:t>
      </w:r>
    </w:p>
    <w:p w14:paraId="1E2E024D" w14:textId="77777777" w:rsidR="00BE4297" w:rsidRPr="00DA29B0" w:rsidRDefault="00BE4297" w:rsidP="00133756">
      <w:pPr>
        <w:tabs>
          <w:tab w:val="left" w:pos="8136"/>
        </w:tabs>
        <w:spacing w:line="276" w:lineRule="auto"/>
        <w:jc w:val="both"/>
        <w:rPr>
          <w:rFonts w:ascii="Titillium Web" w:hAnsi="Titillium Web" w:cs="Tahoma"/>
          <w:b/>
          <w:bCs/>
          <w:iCs/>
          <w:sz w:val="22"/>
          <w:szCs w:val="22"/>
        </w:rPr>
      </w:pPr>
    </w:p>
    <w:p w14:paraId="661B07A2" w14:textId="77777777" w:rsidR="00BE4297" w:rsidRPr="00DA29B0" w:rsidRDefault="00BE4297" w:rsidP="00133756">
      <w:pPr>
        <w:tabs>
          <w:tab w:val="left" w:pos="8136"/>
        </w:tabs>
        <w:spacing w:line="276" w:lineRule="auto"/>
        <w:jc w:val="both"/>
        <w:rPr>
          <w:rFonts w:ascii="Titillium Web" w:hAnsi="Titillium Web" w:cs="Tahoma"/>
          <w:iCs/>
          <w:sz w:val="22"/>
          <w:szCs w:val="22"/>
        </w:rPr>
      </w:pPr>
      <w:r w:rsidRPr="00DA29B0">
        <w:rPr>
          <w:rFonts w:ascii="Titillium Web" w:hAnsi="Titillium Web" w:cs="Tahoma"/>
          <w:b/>
          <w:bCs/>
          <w:iCs/>
          <w:sz w:val="22"/>
          <w:szCs w:val="22"/>
        </w:rPr>
        <w:t>4.</w:t>
      </w:r>
      <w:r w:rsidRPr="00DA29B0">
        <w:rPr>
          <w:rFonts w:ascii="Titillium Web" w:hAnsi="Titillium Web" w:cs="Tahoma"/>
          <w:iCs/>
          <w:sz w:val="22"/>
          <w:szCs w:val="22"/>
        </w:rPr>
        <w:t xml:space="preserve"> di impegnarsi (qualora occupi un numero pari o superiore a quindici dipendenti) a consegnare, entro sei mesi dalla conclusione del contratto, una relazione che chiarisca l'avvenuto assolvimento degli obblighi previsti a carico delle imprese dalla legge 12 marzo 1999, n. 68, e illustri eventuali sanzioni e provvedimenti imposti a carico delle imprese nel triennio precedente la data di scadenza della presentazione delle offerte. L'operatore economico è altresì tenuto a trasmettere la relazione alle rappresentanze sindacali aziendali, pena l’applicazione delle penali di cui all’art. 47, comma 6, del decreto-legge 31 maggio 2021 n.77, convertito con modificazioni dalla legge 29 luglio 2021 n. 108;</w:t>
      </w:r>
    </w:p>
    <w:p w14:paraId="3600AC84" w14:textId="77777777" w:rsidR="00BE4297" w:rsidRPr="00DA29B0" w:rsidRDefault="00BE4297" w:rsidP="00133756">
      <w:pPr>
        <w:tabs>
          <w:tab w:val="left" w:pos="8136"/>
        </w:tabs>
        <w:spacing w:line="276" w:lineRule="auto"/>
        <w:jc w:val="both"/>
        <w:rPr>
          <w:rFonts w:ascii="Titillium Web" w:hAnsi="Titillium Web" w:cs="Tahoma"/>
          <w:iCs/>
          <w:sz w:val="22"/>
          <w:szCs w:val="22"/>
        </w:rPr>
      </w:pPr>
    </w:p>
    <w:p w14:paraId="52E7158D" w14:textId="77777777" w:rsidR="00BE4297" w:rsidRPr="00DA29B0" w:rsidRDefault="00BE4297" w:rsidP="00133756">
      <w:pPr>
        <w:tabs>
          <w:tab w:val="left" w:pos="8136"/>
        </w:tabs>
        <w:spacing w:line="276" w:lineRule="auto"/>
        <w:jc w:val="both"/>
        <w:rPr>
          <w:rFonts w:ascii="Titillium Web" w:hAnsi="Titillium Web" w:cs="Tahoma"/>
          <w:iCs/>
          <w:sz w:val="22"/>
          <w:szCs w:val="22"/>
        </w:rPr>
      </w:pPr>
      <w:r w:rsidRPr="00DA29B0">
        <w:rPr>
          <w:rFonts w:ascii="Titillium Web" w:hAnsi="Titillium Web" w:cs="Tahoma"/>
          <w:b/>
          <w:bCs/>
          <w:iCs/>
          <w:sz w:val="22"/>
          <w:szCs w:val="22"/>
        </w:rPr>
        <w:lastRenderedPageBreak/>
        <w:t>5.</w:t>
      </w:r>
      <w:r w:rsidRPr="00DA29B0">
        <w:rPr>
          <w:rFonts w:ascii="Titillium Web" w:hAnsi="Titillium Web" w:cs="Tahoma"/>
          <w:iCs/>
          <w:sz w:val="22"/>
          <w:szCs w:val="22"/>
        </w:rPr>
        <w:t xml:space="preserve"> di impegnarsi, in caso di aggiudicazione del contratto, ad assicurare una quota pari al 30% sia all’occupazione femminile sia all’occupazione giovanile, di cui all’articolo 47, comma 4 del decreto legge n. 77 del 2021, nonché del Decreto ministeriale della Presidenza del Consiglio dei Ministri, Dipartimento delle pari opportunità, del 7 dicembre 2021 (Adozione delle linee guida volte a favorire la pari opportunità di genere e generazionali, nonché l'inclusione lavorativa delle persone con disabilità nei contratti pubblici finanziati con le risorse del PNRR e del PNC), pubblicato nella Gazzetta Ufficiale del 30 dicembre 2021, n. 309;</w:t>
      </w:r>
    </w:p>
    <w:p w14:paraId="063294A6" w14:textId="77777777" w:rsidR="00BE4297" w:rsidRPr="00DA29B0" w:rsidRDefault="00BE4297" w:rsidP="00133756">
      <w:pPr>
        <w:tabs>
          <w:tab w:val="left" w:pos="8136"/>
        </w:tabs>
        <w:spacing w:line="276" w:lineRule="auto"/>
        <w:jc w:val="both"/>
        <w:rPr>
          <w:rFonts w:ascii="Titillium Web" w:hAnsi="Titillium Web" w:cs="Tahoma"/>
          <w:b/>
          <w:bCs/>
          <w:iCs/>
          <w:sz w:val="22"/>
          <w:szCs w:val="22"/>
        </w:rPr>
      </w:pPr>
    </w:p>
    <w:p w14:paraId="5D7D5049" w14:textId="77777777" w:rsidR="00BE4297" w:rsidRPr="00DA29B0" w:rsidRDefault="00BE4297" w:rsidP="00133756">
      <w:pPr>
        <w:tabs>
          <w:tab w:val="left" w:pos="8136"/>
        </w:tabs>
        <w:spacing w:line="276" w:lineRule="auto"/>
        <w:jc w:val="both"/>
        <w:rPr>
          <w:rFonts w:ascii="Titillium Web" w:hAnsi="Titillium Web" w:cs="Tahoma"/>
          <w:iCs/>
          <w:sz w:val="22"/>
          <w:szCs w:val="22"/>
        </w:rPr>
      </w:pPr>
      <w:r w:rsidRPr="00DA29B0">
        <w:rPr>
          <w:rFonts w:ascii="Titillium Web" w:hAnsi="Titillium Web" w:cs="Tahoma"/>
          <w:b/>
          <w:bCs/>
          <w:iCs/>
          <w:sz w:val="22"/>
          <w:szCs w:val="22"/>
        </w:rPr>
        <w:t>6.</w:t>
      </w:r>
      <w:r w:rsidRPr="00DA29B0">
        <w:rPr>
          <w:rFonts w:ascii="Titillium Web" w:hAnsi="Titillium Web" w:cs="Tahoma"/>
          <w:iCs/>
          <w:sz w:val="22"/>
          <w:szCs w:val="22"/>
        </w:rPr>
        <w:t xml:space="preserve"> di impegnarsi ad osservare gli obblighi specifici del PNRR, tra cui il principio di non arrecare un danno significativo agli obiettivi ambientali cd. “Do No Significant Harm” (DNSH) ai sensi dell'articolo 17 del Regolamento (UE) 2020/852 del Parlamento europeo e del Consiglio del 18 giugno 2020, nonché in riferimento alla “Guida operativa” di cui alla Circolare MEF del 30 dicembre 2021, n. 32;</w:t>
      </w:r>
    </w:p>
    <w:p w14:paraId="2B7DF243" w14:textId="77777777" w:rsidR="00BE4297" w:rsidRPr="00DA29B0" w:rsidRDefault="00BE4297" w:rsidP="00133756">
      <w:pPr>
        <w:spacing w:line="276" w:lineRule="auto"/>
        <w:jc w:val="both"/>
        <w:rPr>
          <w:rFonts w:ascii="Titillium Web" w:hAnsi="Titillium Web" w:cs="Tahoma"/>
          <w:b/>
          <w:bCs/>
          <w:iCs/>
          <w:sz w:val="22"/>
          <w:szCs w:val="22"/>
        </w:rPr>
      </w:pPr>
      <w:bookmarkStart w:id="0" w:name="_Hlk187753748"/>
    </w:p>
    <w:p w14:paraId="19C3C3D7" w14:textId="77777777" w:rsidR="00BE4297" w:rsidRPr="00DA29B0" w:rsidRDefault="00BE4297" w:rsidP="00133756">
      <w:pPr>
        <w:spacing w:line="276" w:lineRule="auto"/>
        <w:jc w:val="both"/>
        <w:rPr>
          <w:rFonts w:ascii="Titillium Web" w:hAnsi="Titillium Web" w:cs="Calibri"/>
          <w:iCs/>
          <w:sz w:val="22"/>
          <w:szCs w:val="22"/>
        </w:rPr>
      </w:pPr>
      <w:r w:rsidRPr="00DA29B0">
        <w:rPr>
          <w:rFonts w:ascii="Titillium Web" w:hAnsi="Titillium Web" w:cs="Tahoma"/>
          <w:b/>
          <w:bCs/>
          <w:iCs/>
          <w:sz w:val="22"/>
          <w:szCs w:val="22"/>
        </w:rPr>
        <w:t>7.</w:t>
      </w:r>
      <w:r w:rsidRPr="00DA29B0">
        <w:rPr>
          <w:rFonts w:ascii="Titillium Web" w:hAnsi="Titillium Web" w:cs="Tahoma"/>
          <w:iCs/>
          <w:sz w:val="22"/>
          <w:szCs w:val="22"/>
        </w:rPr>
        <w:t xml:space="preserve"> </w:t>
      </w:r>
      <w:r w:rsidRPr="00DA29B0">
        <w:rPr>
          <w:rFonts w:ascii="Titillium Web" w:hAnsi="Titillium Web" w:cs="Calibri"/>
          <w:iCs/>
          <w:sz w:val="22"/>
          <w:szCs w:val="22"/>
        </w:rPr>
        <w:t>di impegnarsi (qualora occupi un numero di dipendenti pari o superiore a quindici e non superiore a cinquanta), a pena di esclusione, a non omettere, nei dodici mesi precedenti al termine di presentazione dell’offerta, di produrre alla stazione appaltante di un precedente contratto, finanziato in tutto o in parte con i fondi del PNRR o del PNC, la relazione di cui all’art. 47, comma 3 del Decreto-legge n. 77 del 2021</w:t>
      </w:r>
      <w:bookmarkEnd w:id="0"/>
      <w:r w:rsidRPr="00DA29B0">
        <w:rPr>
          <w:rFonts w:ascii="Titillium Web" w:hAnsi="Titillium Web" w:cs="Calibri"/>
          <w:iCs/>
          <w:sz w:val="22"/>
          <w:szCs w:val="22"/>
        </w:rPr>
        <w:t>.</w:t>
      </w:r>
    </w:p>
    <w:p w14:paraId="1D2F71BA" w14:textId="77777777" w:rsidR="00676320" w:rsidRPr="00DA29B0" w:rsidRDefault="00676320" w:rsidP="00133756">
      <w:pPr>
        <w:tabs>
          <w:tab w:val="left" w:pos="8136"/>
        </w:tabs>
        <w:spacing w:line="276" w:lineRule="auto"/>
        <w:jc w:val="both"/>
        <w:rPr>
          <w:rFonts w:ascii="Titillium Web" w:hAnsi="Titillium Web" w:cs="Tahoma"/>
          <w:sz w:val="22"/>
          <w:szCs w:val="22"/>
        </w:rPr>
      </w:pPr>
    </w:p>
    <w:p w14:paraId="68265014" w14:textId="1A96906D" w:rsidR="00BE4297" w:rsidRPr="00DA29B0" w:rsidRDefault="00BE4297" w:rsidP="00133756">
      <w:pPr>
        <w:tabs>
          <w:tab w:val="left" w:pos="8136"/>
        </w:tabs>
        <w:spacing w:line="276" w:lineRule="auto"/>
        <w:jc w:val="both"/>
        <w:rPr>
          <w:rFonts w:ascii="Titillium Web" w:hAnsi="Titillium Web" w:cs="Tahoma"/>
          <w:sz w:val="22"/>
          <w:szCs w:val="22"/>
        </w:rPr>
      </w:pPr>
      <w:r w:rsidRPr="00DA29B0">
        <w:rPr>
          <w:rFonts w:ascii="Titillium Web" w:hAnsi="Titillium Web" w:cs="Tahoma"/>
          <w:sz w:val="22"/>
          <w:szCs w:val="22"/>
        </w:rPr>
        <w:t>Il concorrente si impegna, inoltre, a fornire, ai sensi del Decreto MEF dell’11 marzo 2022, n. 55, i dati necessari per l’identificazione del titolare effettivo dell’operatore economico stesso (di cui all’art. 20 del D.lgs. 231/2007).</w:t>
      </w:r>
    </w:p>
    <w:p w14:paraId="20DAF685" w14:textId="77777777" w:rsidR="00BE4297" w:rsidRPr="00DA29B0" w:rsidRDefault="00BE4297" w:rsidP="00133756">
      <w:pPr>
        <w:tabs>
          <w:tab w:val="left" w:pos="8136"/>
        </w:tabs>
        <w:spacing w:line="276" w:lineRule="auto"/>
        <w:jc w:val="both"/>
        <w:rPr>
          <w:rFonts w:ascii="Titillium Web" w:hAnsi="Titillium Web" w:cs="Tahoma"/>
          <w:sz w:val="22"/>
          <w:szCs w:val="22"/>
        </w:rPr>
      </w:pPr>
      <w:r w:rsidRPr="00DA29B0">
        <w:rPr>
          <w:rFonts w:ascii="Titillium Web" w:hAnsi="Titillium Web" w:cs="Tahoma"/>
          <w:sz w:val="22"/>
          <w:szCs w:val="22"/>
        </w:rPr>
        <w:t xml:space="preserve">Il concorrente ed il titolare effettivo si impegnano a dichiarare l’assenza di situazioni di conflitto, anche potenziale, di interessi in relazione alla presente procedura e ad impegnarsi, qualora tale situazione dovesse verificarsi in un momento successivo, a darne tempestiva comunicazione alla stazione appaltante. </w:t>
      </w:r>
    </w:p>
    <w:p w14:paraId="0B300B56" w14:textId="77777777" w:rsidR="00BE4297" w:rsidRPr="00DA29B0" w:rsidRDefault="00BE4297" w:rsidP="00133756">
      <w:pPr>
        <w:tabs>
          <w:tab w:val="left" w:pos="8136"/>
        </w:tabs>
        <w:jc w:val="both"/>
        <w:rPr>
          <w:rFonts w:ascii="Titillium Web" w:hAnsi="Titillium Web" w:cs="Tahoma"/>
          <w:sz w:val="22"/>
          <w:szCs w:val="22"/>
        </w:rPr>
      </w:pPr>
    </w:p>
    <w:p w14:paraId="4D2F8C80" w14:textId="77777777" w:rsidR="00BE4297" w:rsidRPr="00DA29B0" w:rsidRDefault="00BE4297" w:rsidP="00133756">
      <w:pPr>
        <w:tabs>
          <w:tab w:val="left" w:pos="8136"/>
        </w:tabs>
        <w:jc w:val="both"/>
        <w:rPr>
          <w:rFonts w:ascii="Titillium Web" w:hAnsi="Titillium Web" w:cs="Tahoma"/>
          <w:sz w:val="22"/>
          <w:szCs w:val="22"/>
        </w:rPr>
      </w:pPr>
      <w:r w:rsidRPr="00DA29B0">
        <w:rPr>
          <w:rFonts w:ascii="Titillium Web" w:hAnsi="Titillium Web" w:cs="Tahoma"/>
          <w:sz w:val="22"/>
          <w:szCs w:val="22"/>
        </w:rPr>
        <w:t>Luogo e Data</w:t>
      </w:r>
    </w:p>
    <w:p w14:paraId="342DF56C" w14:textId="77777777" w:rsidR="00BE4297" w:rsidRPr="00DA29B0" w:rsidRDefault="00BE4297" w:rsidP="00133756">
      <w:pPr>
        <w:pStyle w:val="Default"/>
        <w:jc w:val="both"/>
        <w:rPr>
          <w:rFonts w:ascii="Titillium Web" w:hAnsi="Titillium Web"/>
          <w:iCs/>
          <w:sz w:val="22"/>
          <w:szCs w:val="22"/>
        </w:rPr>
      </w:pPr>
      <w:r w:rsidRPr="00DA29B0">
        <w:rPr>
          <w:rFonts w:ascii="Titillium Web" w:hAnsi="Titillium Web"/>
          <w:iCs/>
          <w:sz w:val="22"/>
          <w:szCs w:val="22"/>
        </w:rPr>
        <w:t>_____, il ____________</w:t>
      </w:r>
    </w:p>
    <w:p w14:paraId="622D11CA" w14:textId="77777777" w:rsidR="00BE4297" w:rsidRPr="00DA29B0" w:rsidRDefault="00BE4297" w:rsidP="00133756">
      <w:pPr>
        <w:pStyle w:val="Default"/>
        <w:jc w:val="both"/>
        <w:rPr>
          <w:rFonts w:ascii="Titillium Web" w:hAnsi="Titillium Web"/>
          <w:iCs/>
          <w:sz w:val="22"/>
          <w:szCs w:val="22"/>
        </w:rPr>
      </w:pPr>
    </w:p>
    <w:p w14:paraId="76105F40" w14:textId="77777777" w:rsidR="00BE4297" w:rsidRPr="00DA29B0" w:rsidRDefault="00BE4297" w:rsidP="00133756">
      <w:pPr>
        <w:pStyle w:val="Default"/>
        <w:ind w:firstLine="4678"/>
        <w:jc w:val="right"/>
        <w:rPr>
          <w:rFonts w:ascii="Titillium Web" w:hAnsi="Titillium Web"/>
          <w:iCs/>
          <w:sz w:val="22"/>
          <w:szCs w:val="22"/>
        </w:rPr>
      </w:pPr>
      <w:r w:rsidRPr="00DA29B0">
        <w:rPr>
          <w:rFonts w:ascii="Titillium Web" w:hAnsi="Titillium Web"/>
          <w:iCs/>
          <w:sz w:val="22"/>
          <w:szCs w:val="22"/>
        </w:rPr>
        <w:t>FIRMATARIO</w:t>
      </w:r>
    </w:p>
    <w:p w14:paraId="6D231787" w14:textId="77777777" w:rsidR="00BE4297" w:rsidRPr="00DA29B0" w:rsidRDefault="00BE4297" w:rsidP="00133756">
      <w:pPr>
        <w:pStyle w:val="Default"/>
        <w:ind w:firstLine="4678"/>
        <w:jc w:val="right"/>
        <w:rPr>
          <w:rFonts w:ascii="Titillium Web" w:hAnsi="Titillium Web"/>
          <w:iCs/>
          <w:sz w:val="22"/>
          <w:szCs w:val="22"/>
        </w:rPr>
      </w:pPr>
      <w:r w:rsidRPr="00DA29B0">
        <w:rPr>
          <w:rFonts w:ascii="Titillium Web" w:hAnsi="Titillium Web"/>
          <w:iCs/>
          <w:sz w:val="22"/>
          <w:szCs w:val="22"/>
        </w:rPr>
        <w:t>___________</w:t>
      </w:r>
    </w:p>
    <w:p w14:paraId="2002D24F" w14:textId="32415B48" w:rsidR="000D2909" w:rsidRPr="00DA29B0" w:rsidRDefault="00BE4297" w:rsidP="00133756">
      <w:pPr>
        <w:pStyle w:val="Default"/>
        <w:ind w:firstLine="4678"/>
        <w:jc w:val="right"/>
        <w:rPr>
          <w:rFonts w:ascii="Titillium Web" w:hAnsi="Titillium Web"/>
          <w:iCs/>
          <w:sz w:val="22"/>
          <w:szCs w:val="22"/>
        </w:rPr>
      </w:pPr>
      <w:r w:rsidRPr="00DA29B0">
        <w:rPr>
          <w:rFonts w:ascii="Titillium Web" w:hAnsi="Titillium Web"/>
          <w:iCs/>
          <w:sz w:val="22"/>
          <w:szCs w:val="22"/>
        </w:rPr>
        <w:t>firmato digitalmente</w:t>
      </w:r>
    </w:p>
    <w:sectPr w:rsidR="000D2909" w:rsidRPr="00DA29B0" w:rsidSect="0059314A">
      <w:headerReference w:type="even" r:id="rId11"/>
      <w:headerReference w:type="default" r:id="rId12"/>
      <w:footerReference w:type="even" r:id="rId13"/>
      <w:footerReference w:type="default" r:id="rId14"/>
      <w:headerReference w:type="first" r:id="rId15"/>
      <w:footerReference w:type="first" r:id="rId16"/>
      <w:pgSz w:w="11900" w:h="16840"/>
      <w:pgMar w:top="1843" w:right="1134" w:bottom="1559" w:left="1134" w:header="28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BFAAB" w14:textId="77777777" w:rsidR="00746834" w:rsidRDefault="00746834" w:rsidP="00C34F6F">
      <w:r>
        <w:separator/>
      </w:r>
    </w:p>
  </w:endnote>
  <w:endnote w:type="continuationSeparator" w:id="0">
    <w:p w14:paraId="2822D0F5" w14:textId="77777777" w:rsidR="00746834" w:rsidRDefault="00746834" w:rsidP="00C34F6F">
      <w:r>
        <w:continuationSeparator/>
      </w:r>
    </w:p>
  </w:endnote>
  <w:endnote w:type="continuationNotice" w:id="1">
    <w:p w14:paraId="3E6850A9" w14:textId="77777777" w:rsidR="00746834" w:rsidRDefault="007468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tillium Web">
    <w:altName w:val="Titillium Web"/>
    <w:charset w:val="00"/>
    <w:family w:val="auto"/>
    <w:pitch w:val="variable"/>
    <w:sig w:usb0="00000007" w:usb1="00000001"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4F61C" w14:textId="77777777" w:rsidR="006C4B7B" w:rsidRDefault="006C4B7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564FA" w14:textId="3B608124" w:rsidR="00C34F6F" w:rsidRPr="00186268" w:rsidRDefault="00186268" w:rsidP="00C34F6F">
    <w:pPr>
      <w:pStyle w:val="Pidipagina"/>
      <w:tabs>
        <w:tab w:val="clear" w:pos="4819"/>
        <w:tab w:val="center" w:pos="5245"/>
      </w:tabs>
      <w:jc w:val="center"/>
      <w:rPr>
        <w:rFonts w:ascii="Calibri" w:hAnsi="Calibri"/>
        <w:color w:val="FFFFFF" w:themeColor="background1"/>
        <w:sz w:val="20"/>
        <w:szCs w:val="20"/>
      </w:rPr>
    </w:pPr>
    <w:r w:rsidRPr="00186268">
      <w:rPr>
        <w:rStyle w:val="Numeropagina"/>
        <w:rFonts w:ascii="Calibri" w:hAnsi="Calibri"/>
        <w:color w:val="FFFFFF" w:themeColor="background1"/>
        <w:sz w:val="20"/>
        <w:szCs w:val="20"/>
      </w:rPr>
      <w:fldChar w:fldCharType="begin"/>
    </w:r>
    <w:r w:rsidRPr="00186268">
      <w:rPr>
        <w:rStyle w:val="Numeropagina"/>
        <w:rFonts w:ascii="Calibri" w:hAnsi="Calibri"/>
        <w:color w:val="FFFFFF" w:themeColor="background1"/>
        <w:sz w:val="20"/>
        <w:szCs w:val="20"/>
      </w:rPr>
      <w:instrText xml:space="preserve"> PAGE </w:instrText>
    </w:r>
    <w:r w:rsidRPr="00186268">
      <w:rPr>
        <w:rStyle w:val="Numeropagina"/>
        <w:rFonts w:ascii="Calibri" w:hAnsi="Calibri"/>
        <w:color w:val="FFFFFF" w:themeColor="background1"/>
        <w:sz w:val="20"/>
        <w:szCs w:val="20"/>
      </w:rPr>
      <w:fldChar w:fldCharType="separate"/>
    </w:r>
    <w:r w:rsidR="0044449A">
      <w:rPr>
        <w:rStyle w:val="Numeropagina"/>
        <w:rFonts w:ascii="Calibri" w:hAnsi="Calibri"/>
        <w:noProof/>
        <w:color w:val="FFFFFF" w:themeColor="background1"/>
        <w:sz w:val="20"/>
        <w:szCs w:val="20"/>
      </w:rPr>
      <w:t>3</w:t>
    </w:r>
    <w:r w:rsidRPr="00186268">
      <w:rPr>
        <w:rStyle w:val="Numeropagina"/>
        <w:rFonts w:ascii="Calibri" w:hAnsi="Calibri"/>
        <w:color w:val="FFFFFF" w:themeColor="background1"/>
        <w:sz w:val="20"/>
        <w:szCs w:val="20"/>
      </w:rPr>
      <w:fldChar w:fldCharType="end"/>
    </w:r>
  </w:p>
  <w:p w14:paraId="2AE5D730" w14:textId="77777777" w:rsidR="00963EA2" w:rsidRDefault="00963EA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7372122"/>
      <w:docPartObj>
        <w:docPartGallery w:val="Page Numbers (Bottom of Page)"/>
        <w:docPartUnique/>
      </w:docPartObj>
    </w:sdtPr>
    <w:sdtEndPr/>
    <w:sdtContent>
      <w:p w14:paraId="34C36CF8" w14:textId="27771FBD" w:rsidR="00550438" w:rsidRDefault="006C4B7B" w:rsidP="00CB2DA5">
        <w:pPr>
          <w:pStyle w:val="Pidipagina"/>
        </w:pPr>
      </w:p>
    </w:sdtContent>
  </w:sdt>
  <w:p w14:paraId="1990133C" w14:textId="12FAA61D" w:rsidR="00C34F6F" w:rsidRDefault="00C34F6F" w:rsidP="00C34F6F">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AC15B" w14:textId="77777777" w:rsidR="00746834" w:rsidRDefault="00746834" w:rsidP="00C34F6F">
      <w:r>
        <w:separator/>
      </w:r>
    </w:p>
  </w:footnote>
  <w:footnote w:type="continuationSeparator" w:id="0">
    <w:p w14:paraId="2D5E557E" w14:textId="77777777" w:rsidR="00746834" w:rsidRDefault="00746834" w:rsidP="00C34F6F">
      <w:r>
        <w:continuationSeparator/>
      </w:r>
    </w:p>
  </w:footnote>
  <w:footnote w:type="continuationNotice" w:id="1">
    <w:p w14:paraId="555F7CD5" w14:textId="77777777" w:rsidR="00746834" w:rsidRDefault="007468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D2863" w14:textId="77777777" w:rsidR="006C4B7B" w:rsidRDefault="006C4B7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14CCA" w14:textId="77777777" w:rsidR="006C4B7B" w:rsidRPr="007221F9" w:rsidRDefault="006C4B7B" w:rsidP="006C4B7B">
    <w:pPr>
      <w:widowControl w:val="0"/>
      <w:jc w:val="center"/>
      <w:rPr>
        <w:rFonts w:ascii="Calibri" w:eastAsia="Times New Roman" w:hAnsi="Calibri" w:cs="Calibri"/>
        <w:b/>
        <w:lang w:eastAsia="it-IT"/>
      </w:rPr>
    </w:pPr>
    <w:r w:rsidRPr="007221F9">
      <w:rPr>
        <w:rFonts w:ascii="Calibri" w:eastAsia="Times New Roman" w:hAnsi="Calibri" w:cs="Calibri"/>
        <w:b/>
        <w:noProof/>
        <w:lang w:eastAsia="it-IT"/>
      </w:rPr>
      <w:drawing>
        <wp:inline distT="0" distB="0" distL="0" distR="0" wp14:anchorId="1288F134" wp14:editId="2A9A048D">
          <wp:extent cx="628650" cy="569430"/>
          <wp:effectExtent l="0" t="0" r="0" b="2540"/>
          <wp:docPr id="1" name="Immagine 2" descr="Immagine che contiene emblema, simbolo, cresta, mone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60808" name="Immagine 2" descr="Immagine che contiene emblema, simbolo, cresta, moneta&#10;&#10;Descrizione generata automaticamente"/>
                  <pic:cNvPicPr>
                    <a:picLocks noChangeAspect="1" noChangeArrowheads="1"/>
                  </pic:cNvPicPr>
                </pic:nvPicPr>
                <pic:blipFill>
                  <a:blip r:embed="rId1">
                    <a:duotone>
                      <a:prstClr val="black"/>
                      <a:schemeClr val="accent4">
                        <a:tint val="45000"/>
                        <a:satMod val="400000"/>
                      </a:schemeClr>
                    </a:duotone>
                  </a:blip>
                  <a:srcRect/>
                  <a:stretch>
                    <a:fillRect/>
                  </a:stretch>
                </pic:blipFill>
                <pic:spPr bwMode="auto">
                  <a:xfrm>
                    <a:off x="0" y="0"/>
                    <a:ext cx="628650" cy="568960"/>
                  </a:xfrm>
                  <a:prstGeom prst="rect">
                    <a:avLst/>
                  </a:prstGeom>
                  <a:noFill/>
                </pic:spPr>
              </pic:pic>
            </a:graphicData>
          </a:graphic>
        </wp:inline>
      </w:drawing>
    </w:r>
    <w:r w:rsidRPr="007221F9">
      <w:rPr>
        <w:rFonts w:ascii="Calibri" w:eastAsia="Times New Roman" w:hAnsi="Calibri" w:cs="Calibri"/>
        <w:b/>
        <w:lang w:eastAsia="it-IT"/>
      </w:rPr>
      <w:tab/>
    </w:r>
    <w:r w:rsidRPr="007221F9">
      <w:rPr>
        <w:rFonts w:ascii="Calibri" w:eastAsia="Times New Roman" w:hAnsi="Calibri" w:cs="Calibri"/>
        <w:b/>
        <w:lang w:eastAsia="it-IT"/>
      </w:rPr>
      <w:tab/>
    </w:r>
    <w:r w:rsidRPr="007221F9">
      <w:rPr>
        <w:rFonts w:ascii="Calibri" w:eastAsia="Times New Roman" w:hAnsi="Calibri" w:cs="Calibri"/>
        <w:b/>
        <w:lang w:eastAsia="it-IT"/>
      </w:rPr>
      <w:tab/>
    </w:r>
    <w:r w:rsidRPr="007221F9">
      <w:rPr>
        <w:rFonts w:ascii="Calibri" w:eastAsia="Times New Roman" w:hAnsi="Calibri" w:cs="Calibri"/>
        <w:b/>
        <w:lang w:eastAsia="it-IT"/>
      </w:rPr>
      <w:tab/>
    </w:r>
    <w:r w:rsidRPr="007221F9">
      <w:rPr>
        <w:rFonts w:ascii="Calibri" w:eastAsia="Times New Roman" w:hAnsi="Calibri" w:cs="Calibri"/>
        <w:b/>
        <w:lang w:eastAsia="it-IT"/>
      </w:rPr>
      <w:tab/>
    </w:r>
    <w:r w:rsidRPr="007221F9">
      <w:rPr>
        <w:rFonts w:ascii="Calibri" w:eastAsia="Times New Roman" w:hAnsi="Calibri" w:cs="Calibri"/>
        <w:b/>
        <w:lang w:eastAsia="it-IT"/>
      </w:rPr>
      <w:tab/>
    </w:r>
    <w:r w:rsidRPr="007221F9">
      <w:rPr>
        <w:rFonts w:ascii="Calibri" w:eastAsia="Times New Roman" w:hAnsi="Calibri" w:cs="Calibri"/>
        <w:b/>
        <w:lang w:eastAsia="it-IT"/>
      </w:rPr>
      <w:tab/>
      <w:t xml:space="preserve">                       </w:t>
    </w:r>
    <w:r w:rsidRPr="007221F9">
      <w:rPr>
        <w:rFonts w:ascii="Calibri" w:eastAsia="Times New Roman" w:hAnsi="Calibri" w:cs="Calibri"/>
        <w:b/>
        <w:noProof/>
        <w:lang w:eastAsia="it-IT"/>
      </w:rPr>
      <w:drawing>
        <wp:inline distT="0" distB="0" distL="0" distR="0" wp14:anchorId="71AD5296" wp14:editId="21463BA1">
          <wp:extent cx="428625" cy="495300"/>
          <wp:effectExtent l="0" t="0" r="9525" b="0"/>
          <wp:docPr id="2" name="Immagine 1" descr="Immagine che contiene mappa, testo, Elementi grafici,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66726" name="Immagine 1" descr="Immagine che contiene mappa, testo, Elementi grafici, design&#10;&#10;Il contenuto generato dall'IA potrebbe non essere corret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8625" cy="495300"/>
                  </a:xfrm>
                  <a:prstGeom prst="rect">
                    <a:avLst/>
                  </a:prstGeom>
                  <a:noFill/>
                  <a:ln>
                    <a:noFill/>
                  </a:ln>
                </pic:spPr>
              </pic:pic>
            </a:graphicData>
          </a:graphic>
        </wp:inline>
      </w:drawing>
    </w:r>
    <w:r w:rsidRPr="007221F9">
      <w:rPr>
        <w:rFonts w:ascii="Calibri" w:eastAsia="Times New Roman" w:hAnsi="Calibri" w:cs="Calibri"/>
        <w:b/>
        <w:lang w:eastAsia="it-IT"/>
      </w:rPr>
      <w:tab/>
    </w:r>
  </w:p>
  <w:p w14:paraId="4EBBB7D9" w14:textId="77777777" w:rsidR="006C4B7B" w:rsidRPr="007221F9" w:rsidRDefault="006C4B7B" w:rsidP="006C4B7B">
    <w:pPr>
      <w:widowControl w:val="0"/>
      <w:jc w:val="center"/>
      <w:rPr>
        <w:rFonts w:ascii="Calibri" w:eastAsia="Times New Roman" w:hAnsi="Calibri" w:cs="Calibri"/>
        <w:b/>
        <w:lang w:eastAsia="it-IT"/>
      </w:rPr>
    </w:pPr>
    <w:r w:rsidRPr="007221F9">
      <w:rPr>
        <w:rFonts w:ascii="Calibri" w:eastAsia="Times New Roman" w:hAnsi="Calibri" w:cs="Calibri"/>
        <w:b/>
        <w:lang w:eastAsia="it-IT"/>
      </w:rPr>
      <w:t xml:space="preserve">Hub Life Science – Digital Health (LSH-DH) PNC-E3-2022-23683267 Progetto DHEAL-COM- finanziato dal Ministero della Salute nell’ambito del Piano Nazionale Complementare (PNC) al Piano Nazionale di Ripresa e Resilienza Ecosistema Innovativo della Salute - Codice univoco investimento: PNC-E.3    </w:t>
    </w:r>
    <w:r w:rsidRPr="007221F9">
      <w:rPr>
        <w:rFonts w:ascii="Calibri" w:eastAsia="Times New Roman" w:hAnsi="Calibri" w:cs="Calibri"/>
        <w:b/>
        <w:bCs/>
        <w:lang w:eastAsia="it-IT"/>
      </w:rPr>
      <w:t>CUP E63C22003790001</w:t>
    </w:r>
    <w:r w:rsidRPr="007221F9">
      <w:rPr>
        <w:rFonts w:ascii="Calibri" w:eastAsia="Times New Roman" w:hAnsi="Calibri" w:cs="Calibri"/>
        <w:b/>
        <w:lang w:eastAsia="it-IT"/>
      </w:rPr>
      <w:t xml:space="preserve"> </w:t>
    </w:r>
  </w:p>
  <w:p w14:paraId="6113124C" w14:textId="6647511A" w:rsidR="00C34F6F" w:rsidRPr="00C34F6F" w:rsidRDefault="00C34F6F" w:rsidP="00C34F6F">
    <w:pPr>
      <w:pStyle w:val="Intestazione"/>
      <w:tabs>
        <w:tab w:val="clear" w:pos="4819"/>
        <w:tab w:val="clear" w:pos="9638"/>
      </w:tabs>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23162" w14:textId="104228D6" w:rsidR="007221F9" w:rsidRPr="007221F9" w:rsidRDefault="007221F9" w:rsidP="007221F9">
    <w:pPr>
      <w:widowControl w:val="0"/>
      <w:jc w:val="center"/>
      <w:rPr>
        <w:rFonts w:ascii="Calibri" w:eastAsia="Times New Roman" w:hAnsi="Calibri" w:cs="Calibri"/>
        <w:b/>
        <w:lang w:eastAsia="it-IT"/>
      </w:rPr>
    </w:pPr>
    <w:r w:rsidRPr="007221F9">
      <w:rPr>
        <w:rFonts w:ascii="Calibri" w:eastAsia="Times New Roman" w:hAnsi="Calibri" w:cs="Calibri"/>
        <w:b/>
        <w:noProof/>
        <w:lang w:eastAsia="it-IT"/>
      </w:rPr>
      <w:drawing>
        <wp:anchor distT="0" distB="0" distL="114300" distR="114300" simplePos="0" relativeHeight="251659264" behindDoc="0" locked="0" layoutInCell="1" allowOverlap="1" wp14:anchorId="18E8E819" wp14:editId="34ED577D">
          <wp:simplePos x="0" y="0"/>
          <wp:positionH relativeFrom="column">
            <wp:posOffset>5200650</wp:posOffset>
          </wp:positionH>
          <wp:positionV relativeFrom="paragraph">
            <wp:posOffset>-229870</wp:posOffset>
          </wp:positionV>
          <wp:extent cx="1381125" cy="423545"/>
          <wp:effectExtent l="0" t="0" r="9525" b="0"/>
          <wp:wrapNone/>
          <wp:docPr id="1467019705" name="Immagine 3" descr="Immagine che contiene testo, Carattere, log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testo, Carattere, logo, simbol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21F9">
      <w:rPr>
        <w:rFonts w:ascii="Calibri" w:eastAsia="Times New Roman" w:hAnsi="Calibri" w:cs="Calibri"/>
        <w:b/>
        <w:noProof/>
        <w:lang w:eastAsia="it-IT"/>
      </w:rPr>
      <w:drawing>
        <wp:inline distT="0" distB="0" distL="0" distR="0" wp14:anchorId="3A1CC8CB" wp14:editId="0747F32A">
          <wp:extent cx="628650" cy="569430"/>
          <wp:effectExtent l="0" t="0" r="0" b="2540"/>
          <wp:docPr id="617301669" name="Immagine 2" descr="Immagine che contiene emblema, simbolo, cresta, mone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60808" name="Immagine 2" descr="Immagine che contiene emblema, simbolo, cresta, moneta&#10;&#10;Descrizione generata automaticamente"/>
                  <pic:cNvPicPr>
                    <a:picLocks noChangeAspect="1" noChangeArrowheads="1"/>
                  </pic:cNvPicPr>
                </pic:nvPicPr>
                <pic:blipFill>
                  <a:blip r:embed="rId2">
                    <a:duotone>
                      <a:prstClr val="black"/>
                      <a:schemeClr val="accent4">
                        <a:tint val="45000"/>
                        <a:satMod val="400000"/>
                      </a:schemeClr>
                    </a:duotone>
                  </a:blip>
                  <a:srcRect/>
                  <a:stretch>
                    <a:fillRect/>
                  </a:stretch>
                </pic:blipFill>
                <pic:spPr bwMode="auto">
                  <a:xfrm>
                    <a:off x="0" y="0"/>
                    <a:ext cx="628650" cy="568960"/>
                  </a:xfrm>
                  <a:prstGeom prst="rect">
                    <a:avLst/>
                  </a:prstGeom>
                  <a:noFill/>
                </pic:spPr>
              </pic:pic>
            </a:graphicData>
          </a:graphic>
        </wp:inline>
      </w:drawing>
    </w:r>
    <w:r w:rsidRPr="007221F9">
      <w:rPr>
        <w:rFonts w:ascii="Calibri" w:eastAsia="Times New Roman" w:hAnsi="Calibri" w:cs="Calibri"/>
        <w:b/>
        <w:lang w:eastAsia="it-IT"/>
      </w:rPr>
      <w:tab/>
    </w:r>
    <w:r w:rsidRPr="007221F9">
      <w:rPr>
        <w:rFonts w:ascii="Calibri" w:eastAsia="Times New Roman" w:hAnsi="Calibri" w:cs="Calibri"/>
        <w:b/>
        <w:lang w:eastAsia="it-IT"/>
      </w:rPr>
      <w:tab/>
    </w:r>
    <w:r w:rsidRPr="007221F9">
      <w:rPr>
        <w:rFonts w:ascii="Calibri" w:eastAsia="Times New Roman" w:hAnsi="Calibri" w:cs="Calibri"/>
        <w:b/>
        <w:lang w:eastAsia="it-IT"/>
      </w:rPr>
      <w:tab/>
    </w:r>
    <w:r w:rsidRPr="007221F9">
      <w:rPr>
        <w:rFonts w:ascii="Calibri" w:eastAsia="Times New Roman" w:hAnsi="Calibri" w:cs="Calibri"/>
        <w:b/>
        <w:lang w:eastAsia="it-IT"/>
      </w:rPr>
      <w:tab/>
    </w:r>
    <w:r w:rsidRPr="007221F9">
      <w:rPr>
        <w:rFonts w:ascii="Calibri" w:eastAsia="Times New Roman" w:hAnsi="Calibri" w:cs="Calibri"/>
        <w:b/>
        <w:lang w:eastAsia="it-IT"/>
      </w:rPr>
      <w:tab/>
    </w:r>
    <w:r w:rsidRPr="007221F9">
      <w:rPr>
        <w:rFonts w:ascii="Calibri" w:eastAsia="Times New Roman" w:hAnsi="Calibri" w:cs="Calibri"/>
        <w:b/>
        <w:lang w:eastAsia="it-IT"/>
      </w:rPr>
      <w:tab/>
    </w:r>
    <w:r w:rsidRPr="007221F9">
      <w:rPr>
        <w:rFonts w:ascii="Calibri" w:eastAsia="Times New Roman" w:hAnsi="Calibri" w:cs="Calibri"/>
        <w:b/>
        <w:lang w:eastAsia="it-IT"/>
      </w:rPr>
      <w:tab/>
      <w:t xml:space="preserve">                       </w:t>
    </w:r>
    <w:r w:rsidRPr="007221F9">
      <w:rPr>
        <w:rFonts w:ascii="Calibri" w:eastAsia="Times New Roman" w:hAnsi="Calibri" w:cs="Calibri"/>
        <w:b/>
        <w:noProof/>
        <w:lang w:eastAsia="it-IT"/>
      </w:rPr>
      <w:drawing>
        <wp:inline distT="0" distB="0" distL="0" distR="0" wp14:anchorId="7D4FF90C" wp14:editId="0FD5E7F1">
          <wp:extent cx="428625" cy="495300"/>
          <wp:effectExtent l="0" t="0" r="9525" b="0"/>
          <wp:docPr id="386729628" name="Immagine 1" descr="Immagine che contiene mappa, testo, Elementi grafici,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66726" name="Immagine 1" descr="Immagine che contiene mappa, testo, Elementi grafici, design&#10;&#10;Il contenuto generato dall'IA potrebbe non essere corrett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28625" cy="495300"/>
                  </a:xfrm>
                  <a:prstGeom prst="rect">
                    <a:avLst/>
                  </a:prstGeom>
                  <a:noFill/>
                  <a:ln>
                    <a:noFill/>
                  </a:ln>
                </pic:spPr>
              </pic:pic>
            </a:graphicData>
          </a:graphic>
        </wp:inline>
      </w:drawing>
    </w:r>
    <w:r w:rsidRPr="007221F9">
      <w:rPr>
        <w:rFonts w:ascii="Calibri" w:eastAsia="Times New Roman" w:hAnsi="Calibri" w:cs="Calibri"/>
        <w:b/>
        <w:lang w:eastAsia="it-IT"/>
      </w:rPr>
      <w:tab/>
    </w:r>
  </w:p>
  <w:p w14:paraId="54FD1EFE" w14:textId="77777777" w:rsidR="007221F9" w:rsidRPr="007221F9" w:rsidRDefault="007221F9" w:rsidP="007221F9">
    <w:pPr>
      <w:widowControl w:val="0"/>
      <w:jc w:val="center"/>
      <w:rPr>
        <w:rFonts w:ascii="Calibri" w:eastAsia="Times New Roman" w:hAnsi="Calibri" w:cs="Calibri"/>
        <w:b/>
        <w:lang w:eastAsia="it-IT"/>
      </w:rPr>
    </w:pPr>
    <w:r w:rsidRPr="007221F9">
      <w:rPr>
        <w:rFonts w:ascii="Calibri" w:eastAsia="Times New Roman" w:hAnsi="Calibri" w:cs="Calibri"/>
        <w:b/>
        <w:lang w:eastAsia="it-IT"/>
      </w:rPr>
      <w:t xml:space="preserve">Hub Life Science – Digital Health (LSH-DH) PNC-E3-2022-23683267 Progetto DHEAL-COM- finanziato dal Ministero della Salute nell’ambito del Piano Nazionale Complementare (PNC) al Piano Nazionale di Ripresa e Resilienza Ecosistema Innovativo della Salute - Codice univoco investimento: PNC-E.3    </w:t>
    </w:r>
    <w:r w:rsidRPr="007221F9">
      <w:rPr>
        <w:rFonts w:ascii="Calibri" w:eastAsia="Times New Roman" w:hAnsi="Calibri" w:cs="Calibri"/>
        <w:b/>
        <w:bCs/>
        <w:lang w:eastAsia="it-IT"/>
      </w:rPr>
      <w:t>CUP E63C22003790001</w:t>
    </w:r>
    <w:r w:rsidRPr="007221F9">
      <w:rPr>
        <w:rFonts w:ascii="Calibri" w:eastAsia="Times New Roman" w:hAnsi="Calibri" w:cs="Calibri"/>
        <w:b/>
        <w:lang w:eastAsia="it-IT"/>
      </w:rPr>
      <w:t xml:space="preserve"> </w:t>
    </w:r>
  </w:p>
  <w:p w14:paraId="253F1BAA" w14:textId="77777777" w:rsidR="00E033CB" w:rsidRPr="0052116D" w:rsidRDefault="00E033CB" w:rsidP="007C3C57">
    <w:pPr>
      <w:widowControl w:val="0"/>
      <w:jc w:val="center"/>
      <w:rPr>
        <w:rFonts w:ascii="Calibri" w:eastAsia="Times New Roman" w:hAnsi="Calibri" w:cs="Open Sans"/>
        <w:sz w:val="21"/>
        <w:szCs w:val="21"/>
        <w:lang w:eastAsia="it-IT"/>
      </w:rPr>
    </w:pPr>
  </w:p>
  <w:p w14:paraId="24E5A98D" w14:textId="7E5555B7" w:rsidR="00C34F6F" w:rsidRPr="002C4D68" w:rsidRDefault="00C34F6F">
    <w:pPr>
      <w:pStyle w:val="Intestazione"/>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3F2"/>
    <w:multiLevelType w:val="hybridMultilevel"/>
    <w:tmpl w:val="1DB2959A"/>
    <w:lvl w:ilvl="0" w:tplc="0409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E37EE2"/>
    <w:multiLevelType w:val="hybridMultilevel"/>
    <w:tmpl w:val="5B567F82"/>
    <w:lvl w:ilvl="0" w:tplc="878C85BE">
      <w:numFmt w:val="bullet"/>
      <w:lvlText w:val="–"/>
      <w:lvlJc w:val="left"/>
      <w:pPr>
        <w:ind w:left="720" w:hanging="360"/>
      </w:pPr>
      <w:rPr>
        <w:rFonts w:ascii="Cambria" w:eastAsiaTheme="minorHAnsi"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2531C89"/>
    <w:multiLevelType w:val="hybridMultilevel"/>
    <w:tmpl w:val="6F5A37A6"/>
    <w:lvl w:ilvl="0" w:tplc="74A0ACB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16B540EC"/>
    <w:multiLevelType w:val="hybridMultilevel"/>
    <w:tmpl w:val="ED2C4696"/>
    <w:lvl w:ilvl="0" w:tplc="0A1ACB62">
      <w:start w:val="2"/>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EAD7C95"/>
    <w:multiLevelType w:val="hybridMultilevel"/>
    <w:tmpl w:val="4E50E8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ED74E1C"/>
    <w:multiLevelType w:val="hybridMultilevel"/>
    <w:tmpl w:val="A7866DD8"/>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6" w15:restartNumberingAfterBreak="0">
    <w:nsid w:val="23691B46"/>
    <w:multiLevelType w:val="hybridMultilevel"/>
    <w:tmpl w:val="0854D6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3A80D7C"/>
    <w:multiLevelType w:val="hybridMultilevel"/>
    <w:tmpl w:val="AA26222A"/>
    <w:lvl w:ilvl="0" w:tplc="1458B490">
      <w:numFmt w:val="bullet"/>
      <w:lvlText w:val=""/>
      <w:lvlJc w:val="left"/>
      <w:pPr>
        <w:tabs>
          <w:tab w:val="num" w:pos="360"/>
        </w:tabs>
        <w:ind w:left="360" w:hanging="360"/>
      </w:pPr>
      <w:rPr>
        <w:rFonts w:ascii="Wingdings" w:eastAsia="Times New Roman" w:hAnsi="Wingdings" w:cs="Times New Roman"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A6E6CE4"/>
    <w:multiLevelType w:val="hybridMultilevel"/>
    <w:tmpl w:val="935CCFD4"/>
    <w:lvl w:ilvl="0" w:tplc="006C6F60">
      <w:start w:val="1"/>
      <w:numFmt w:val="upperLetter"/>
      <w:lvlText w:val="%1."/>
      <w:lvlJc w:val="left"/>
      <w:pPr>
        <w:ind w:left="218" w:hanging="360"/>
      </w:pPr>
      <w:rPr>
        <w:rFonts w:hint="default"/>
      </w:rPr>
    </w:lvl>
    <w:lvl w:ilvl="1" w:tplc="04100019">
      <w:start w:val="1"/>
      <w:numFmt w:val="lowerLetter"/>
      <w:lvlText w:val="%2."/>
      <w:lvlJc w:val="left"/>
      <w:pPr>
        <w:ind w:left="938" w:hanging="360"/>
      </w:pPr>
    </w:lvl>
    <w:lvl w:ilvl="2" w:tplc="0410001B">
      <w:start w:val="1"/>
      <w:numFmt w:val="lowerRoman"/>
      <w:lvlText w:val="%3."/>
      <w:lvlJc w:val="right"/>
      <w:pPr>
        <w:ind w:left="1658" w:hanging="180"/>
      </w:pPr>
    </w:lvl>
    <w:lvl w:ilvl="3" w:tplc="0410000F">
      <w:start w:val="1"/>
      <w:numFmt w:val="decimal"/>
      <w:lvlText w:val="%4."/>
      <w:lvlJc w:val="left"/>
      <w:pPr>
        <w:ind w:left="2378" w:hanging="360"/>
      </w:pPr>
    </w:lvl>
    <w:lvl w:ilvl="4" w:tplc="04100019">
      <w:start w:val="1"/>
      <w:numFmt w:val="lowerLetter"/>
      <w:lvlText w:val="%5."/>
      <w:lvlJc w:val="left"/>
      <w:pPr>
        <w:ind w:left="3098" w:hanging="360"/>
      </w:pPr>
    </w:lvl>
    <w:lvl w:ilvl="5" w:tplc="0410001B" w:tentative="1">
      <w:start w:val="1"/>
      <w:numFmt w:val="lowerRoman"/>
      <w:lvlText w:val="%6."/>
      <w:lvlJc w:val="right"/>
      <w:pPr>
        <w:ind w:left="3818" w:hanging="180"/>
      </w:pPr>
    </w:lvl>
    <w:lvl w:ilvl="6" w:tplc="0410000F" w:tentative="1">
      <w:start w:val="1"/>
      <w:numFmt w:val="decimal"/>
      <w:lvlText w:val="%7."/>
      <w:lvlJc w:val="left"/>
      <w:pPr>
        <w:ind w:left="4538" w:hanging="360"/>
      </w:pPr>
    </w:lvl>
    <w:lvl w:ilvl="7" w:tplc="04100019" w:tentative="1">
      <w:start w:val="1"/>
      <w:numFmt w:val="lowerLetter"/>
      <w:lvlText w:val="%8."/>
      <w:lvlJc w:val="left"/>
      <w:pPr>
        <w:ind w:left="5258" w:hanging="360"/>
      </w:pPr>
    </w:lvl>
    <w:lvl w:ilvl="8" w:tplc="0410001B" w:tentative="1">
      <w:start w:val="1"/>
      <w:numFmt w:val="lowerRoman"/>
      <w:lvlText w:val="%9."/>
      <w:lvlJc w:val="right"/>
      <w:pPr>
        <w:ind w:left="5978" w:hanging="180"/>
      </w:pPr>
    </w:lvl>
  </w:abstractNum>
  <w:abstractNum w:abstractNumId="9" w15:restartNumberingAfterBreak="0">
    <w:nsid w:val="2D135B81"/>
    <w:multiLevelType w:val="hybridMultilevel"/>
    <w:tmpl w:val="BE1E28A6"/>
    <w:lvl w:ilvl="0" w:tplc="98381B9E">
      <w:numFmt w:val="bullet"/>
      <w:lvlText w:val="–"/>
      <w:lvlJc w:val="left"/>
      <w:pPr>
        <w:ind w:left="720" w:hanging="360"/>
      </w:pPr>
      <w:rPr>
        <w:rFonts w:ascii="Cambria" w:eastAsiaTheme="minorHAnsi"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F28462F"/>
    <w:multiLevelType w:val="hybridMultilevel"/>
    <w:tmpl w:val="9C52883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3824A98"/>
    <w:multiLevelType w:val="hybridMultilevel"/>
    <w:tmpl w:val="B386938E"/>
    <w:lvl w:ilvl="0" w:tplc="21622DA6">
      <w:start w:val="4"/>
      <w:numFmt w:val="bullet"/>
      <w:lvlText w:val="-"/>
      <w:lvlJc w:val="left"/>
      <w:pPr>
        <w:ind w:left="720" w:hanging="360"/>
      </w:pPr>
      <w:rPr>
        <w:rFonts w:ascii="Titillium Web" w:eastAsia="Calibri" w:hAnsi="Titillium Web"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39A5931"/>
    <w:multiLevelType w:val="hybridMultilevel"/>
    <w:tmpl w:val="DB2472E8"/>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3" w15:restartNumberingAfterBreak="0">
    <w:nsid w:val="34D05A88"/>
    <w:multiLevelType w:val="hybridMultilevel"/>
    <w:tmpl w:val="BAAA9FE2"/>
    <w:lvl w:ilvl="0" w:tplc="9842B12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8C762B4"/>
    <w:multiLevelType w:val="hybridMultilevel"/>
    <w:tmpl w:val="78E675BC"/>
    <w:lvl w:ilvl="0" w:tplc="0410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12C089B"/>
    <w:multiLevelType w:val="hybridMultilevel"/>
    <w:tmpl w:val="A5BA4C30"/>
    <w:lvl w:ilvl="0" w:tplc="A19202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22C5E49"/>
    <w:multiLevelType w:val="hybridMultilevel"/>
    <w:tmpl w:val="C96A5DE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C68677B"/>
    <w:multiLevelType w:val="hybridMultilevel"/>
    <w:tmpl w:val="91F25C18"/>
    <w:lvl w:ilvl="0" w:tplc="0528372A">
      <w:numFmt w:val="bullet"/>
      <w:lvlText w:val="-"/>
      <w:lvlJc w:val="left"/>
      <w:pPr>
        <w:ind w:left="720" w:hanging="360"/>
      </w:pPr>
      <w:rPr>
        <w:rFonts w:ascii="Titillium Web" w:eastAsiaTheme="minorEastAsia" w:hAnsi="Titillium Web" w:cs="Titillium Web"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29A6EDC"/>
    <w:multiLevelType w:val="hybridMultilevel"/>
    <w:tmpl w:val="6BF6252C"/>
    <w:lvl w:ilvl="0" w:tplc="5CA47AB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4154927"/>
    <w:multiLevelType w:val="hybridMultilevel"/>
    <w:tmpl w:val="4F2842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7876212"/>
    <w:multiLevelType w:val="hybridMultilevel"/>
    <w:tmpl w:val="651EA83C"/>
    <w:lvl w:ilvl="0" w:tplc="B6CA0A82">
      <w:numFmt w:val="bullet"/>
      <w:lvlText w:val="-"/>
      <w:lvlJc w:val="left"/>
      <w:pPr>
        <w:ind w:left="720" w:hanging="360"/>
      </w:pPr>
      <w:rPr>
        <w:rFonts w:ascii="Titillium Web" w:eastAsiaTheme="minorEastAsia" w:hAnsi="Titillium Web" w:cs="Titillium Web"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81D6CA6"/>
    <w:multiLevelType w:val="hybridMultilevel"/>
    <w:tmpl w:val="C55876A0"/>
    <w:lvl w:ilvl="0" w:tplc="04100001">
      <w:start w:val="1"/>
      <w:numFmt w:val="bullet"/>
      <w:lvlText w:val=""/>
      <w:lvlJc w:val="left"/>
      <w:pPr>
        <w:ind w:left="1346" w:hanging="360"/>
      </w:pPr>
      <w:rPr>
        <w:rFonts w:ascii="Symbol" w:hAnsi="Symbol" w:hint="default"/>
      </w:rPr>
    </w:lvl>
    <w:lvl w:ilvl="1" w:tplc="04100003" w:tentative="1">
      <w:start w:val="1"/>
      <w:numFmt w:val="bullet"/>
      <w:lvlText w:val="o"/>
      <w:lvlJc w:val="left"/>
      <w:pPr>
        <w:ind w:left="2066" w:hanging="360"/>
      </w:pPr>
      <w:rPr>
        <w:rFonts w:ascii="Courier New" w:hAnsi="Courier New" w:cs="Courier New" w:hint="default"/>
      </w:rPr>
    </w:lvl>
    <w:lvl w:ilvl="2" w:tplc="04100005" w:tentative="1">
      <w:start w:val="1"/>
      <w:numFmt w:val="bullet"/>
      <w:lvlText w:val=""/>
      <w:lvlJc w:val="left"/>
      <w:pPr>
        <w:ind w:left="2786" w:hanging="360"/>
      </w:pPr>
      <w:rPr>
        <w:rFonts w:ascii="Wingdings" w:hAnsi="Wingdings" w:hint="default"/>
      </w:rPr>
    </w:lvl>
    <w:lvl w:ilvl="3" w:tplc="04100001" w:tentative="1">
      <w:start w:val="1"/>
      <w:numFmt w:val="bullet"/>
      <w:lvlText w:val=""/>
      <w:lvlJc w:val="left"/>
      <w:pPr>
        <w:ind w:left="3506" w:hanging="360"/>
      </w:pPr>
      <w:rPr>
        <w:rFonts w:ascii="Symbol" w:hAnsi="Symbol" w:hint="default"/>
      </w:rPr>
    </w:lvl>
    <w:lvl w:ilvl="4" w:tplc="04100003" w:tentative="1">
      <w:start w:val="1"/>
      <w:numFmt w:val="bullet"/>
      <w:lvlText w:val="o"/>
      <w:lvlJc w:val="left"/>
      <w:pPr>
        <w:ind w:left="4226" w:hanging="360"/>
      </w:pPr>
      <w:rPr>
        <w:rFonts w:ascii="Courier New" w:hAnsi="Courier New" w:cs="Courier New" w:hint="default"/>
      </w:rPr>
    </w:lvl>
    <w:lvl w:ilvl="5" w:tplc="04100005" w:tentative="1">
      <w:start w:val="1"/>
      <w:numFmt w:val="bullet"/>
      <w:lvlText w:val=""/>
      <w:lvlJc w:val="left"/>
      <w:pPr>
        <w:ind w:left="4946" w:hanging="360"/>
      </w:pPr>
      <w:rPr>
        <w:rFonts w:ascii="Wingdings" w:hAnsi="Wingdings" w:hint="default"/>
      </w:rPr>
    </w:lvl>
    <w:lvl w:ilvl="6" w:tplc="04100001" w:tentative="1">
      <w:start w:val="1"/>
      <w:numFmt w:val="bullet"/>
      <w:lvlText w:val=""/>
      <w:lvlJc w:val="left"/>
      <w:pPr>
        <w:ind w:left="5666" w:hanging="360"/>
      </w:pPr>
      <w:rPr>
        <w:rFonts w:ascii="Symbol" w:hAnsi="Symbol" w:hint="default"/>
      </w:rPr>
    </w:lvl>
    <w:lvl w:ilvl="7" w:tplc="04100003" w:tentative="1">
      <w:start w:val="1"/>
      <w:numFmt w:val="bullet"/>
      <w:lvlText w:val="o"/>
      <w:lvlJc w:val="left"/>
      <w:pPr>
        <w:ind w:left="6386" w:hanging="360"/>
      </w:pPr>
      <w:rPr>
        <w:rFonts w:ascii="Courier New" w:hAnsi="Courier New" w:cs="Courier New" w:hint="default"/>
      </w:rPr>
    </w:lvl>
    <w:lvl w:ilvl="8" w:tplc="04100005" w:tentative="1">
      <w:start w:val="1"/>
      <w:numFmt w:val="bullet"/>
      <w:lvlText w:val=""/>
      <w:lvlJc w:val="left"/>
      <w:pPr>
        <w:ind w:left="7106" w:hanging="360"/>
      </w:pPr>
      <w:rPr>
        <w:rFonts w:ascii="Wingdings" w:hAnsi="Wingdings" w:hint="default"/>
      </w:rPr>
    </w:lvl>
  </w:abstractNum>
  <w:abstractNum w:abstractNumId="22" w15:restartNumberingAfterBreak="0">
    <w:nsid w:val="6CDB677F"/>
    <w:multiLevelType w:val="hybridMultilevel"/>
    <w:tmpl w:val="9664027E"/>
    <w:lvl w:ilvl="0" w:tplc="A19202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F043F06"/>
    <w:multiLevelType w:val="hybridMultilevel"/>
    <w:tmpl w:val="184A3498"/>
    <w:lvl w:ilvl="0" w:tplc="04100001">
      <w:start w:val="1"/>
      <w:numFmt w:val="bullet"/>
      <w:lvlText w:val=""/>
      <w:lvlJc w:val="left"/>
      <w:pPr>
        <w:ind w:left="1333" w:hanging="360"/>
      </w:pPr>
      <w:rPr>
        <w:rFonts w:ascii="Symbol" w:hAnsi="Symbol" w:hint="default"/>
      </w:rPr>
    </w:lvl>
    <w:lvl w:ilvl="1" w:tplc="04100003" w:tentative="1">
      <w:start w:val="1"/>
      <w:numFmt w:val="bullet"/>
      <w:lvlText w:val="o"/>
      <w:lvlJc w:val="left"/>
      <w:pPr>
        <w:ind w:left="2053" w:hanging="360"/>
      </w:pPr>
      <w:rPr>
        <w:rFonts w:ascii="Courier New" w:hAnsi="Courier New" w:cs="Courier New" w:hint="default"/>
      </w:rPr>
    </w:lvl>
    <w:lvl w:ilvl="2" w:tplc="04100005" w:tentative="1">
      <w:start w:val="1"/>
      <w:numFmt w:val="bullet"/>
      <w:lvlText w:val=""/>
      <w:lvlJc w:val="left"/>
      <w:pPr>
        <w:ind w:left="2773" w:hanging="360"/>
      </w:pPr>
      <w:rPr>
        <w:rFonts w:ascii="Wingdings" w:hAnsi="Wingdings" w:hint="default"/>
      </w:rPr>
    </w:lvl>
    <w:lvl w:ilvl="3" w:tplc="04100001" w:tentative="1">
      <w:start w:val="1"/>
      <w:numFmt w:val="bullet"/>
      <w:lvlText w:val=""/>
      <w:lvlJc w:val="left"/>
      <w:pPr>
        <w:ind w:left="3493" w:hanging="360"/>
      </w:pPr>
      <w:rPr>
        <w:rFonts w:ascii="Symbol" w:hAnsi="Symbol" w:hint="default"/>
      </w:rPr>
    </w:lvl>
    <w:lvl w:ilvl="4" w:tplc="04100003" w:tentative="1">
      <w:start w:val="1"/>
      <w:numFmt w:val="bullet"/>
      <w:lvlText w:val="o"/>
      <w:lvlJc w:val="left"/>
      <w:pPr>
        <w:ind w:left="4213" w:hanging="360"/>
      </w:pPr>
      <w:rPr>
        <w:rFonts w:ascii="Courier New" w:hAnsi="Courier New" w:cs="Courier New" w:hint="default"/>
      </w:rPr>
    </w:lvl>
    <w:lvl w:ilvl="5" w:tplc="04100005" w:tentative="1">
      <w:start w:val="1"/>
      <w:numFmt w:val="bullet"/>
      <w:lvlText w:val=""/>
      <w:lvlJc w:val="left"/>
      <w:pPr>
        <w:ind w:left="4933" w:hanging="360"/>
      </w:pPr>
      <w:rPr>
        <w:rFonts w:ascii="Wingdings" w:hAnsi="Wingdings" w:hint="default"/>
      </w:rPr>
    </w:lvl>
    <w:lvl w:ilvl="6" w:tplc="04100001" w:tentative="1">
      <w:start w:val="1"/>
      <w:numFmt w:val="bullet"/>
      <w:lvlText w:val=""/>
      <w:lvlJc w:val="left"/>
      <w:pPr>
        <w:ind w:left="5653" w:hanging="360"/>
      </w:pPr>
      <w:rPr>
        <w:rFonts w:ascii="Symbol" w:hAnsi="Symbol" w:hint="default"/>
      </w:rPr>
    </w:lvl>
    <w:lvl w:ilvl="7" w:tplc="04100003" w:tentative="1">
      <w:start w:val="1"/>
      <w:numFmt w:val="bullet"/>
      <w:lvlText w:val="o"/>
      <w:lvlJc w:val="left"/>
      <w:pPr>
        <w:ind w:left="6373" w:hanging="360"/>
      </w:pPr>
      <w:rPr>
        <w:rFonts w:ascii="Courier New" w:hAnsi="Courier New" w:cs="Courier New" w:hint="default"/>
      </w:rPr>
    </w:lvl>
    <w:lvl w:ilvl="8" w:tplc="04100005" w:tentative="1">
      <w:start w:val="1"/>
      <w:numFmt w:val="bullet"/>
      <w:lvlText w:val=""/>
      <w:lvlJc w:val="left"/>
      <w:pPr>
        <w:ind w:left="7093" w:hanging="360"/>
      </w:pPr>
      <w:rPr>
        <w:rFonts w:ascii="Wingdings" w:hAnsi="Wingdings" w:hint="default"/>
      </w:rPr>
    </w:lvl>
  </w:abstractNum>
  <w:abstractNum w:abstractNumId="24" w15:restartNumberingAfterBreak="0">
    <w:nsid w:val="71506703"/>
    <w:multiLevelType w:val="hybridMultilevel"/>
    <w:tmpl w:val="F54CEF0E"/>
    <w:lvl w:ilvl="0" w:tplc="D7F0B302">
      <w:numFmt w:val="bullet"/>
      <w:lvlText w:val="–"/>
      <w:lvlJc w:val="left"/>
      <w:pPr>
        <w:ind w:left="720" w:hanging="360"/>
      </w:pPr>
      <w:rPr>
        <w:rFonts w:ascii="Cambria" w:eastAsiaTheme="minorHAnsi"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3514E0A"/>
    <w:multiLevelType w:val="hybridMultilevel"/>
    <w:tmpl w:val="42CCDBB4"/>
    <w:lvl w:ilvl="0" w:tplc="A19202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46E748C"/>
    <w:multiLevelType w:val="hybridMultilevel"/>
    <w:tmpl w:val="CB946C0C"/>
    <w:lvl w:ilvl="0" w:tplc="A19202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C577B78"/>
    <w:multiLevelType w:val="hybridMultilevel"/>
    <w:tmpl w:val="D19025D8"/>
    <w:lvl w:ilvl="0" w:tplc="DE2E1E24">
      <w:numFmt w:val="bullet"/>
      <w:lvlText w:val="–"/>
      <w:lvlJc w:val="left"/>
      <w:pPr>
        <w:ind w:left="720" w:hanging="360"/>
      </w:pPr>
      <w:rPr>
        <w:rFonts w:ascii="Cambria" w:eastAsiaTheme="minorHAnsi"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C812B24"/>
    <w:multiLevelType w:val="hybridMultilevel"/>
    <w:tmpl w:val="FF2A87D4"/>
    <w:lvl w:ilvl="0" w:tplc="9F669DBE">
      <w:numFmt w:val="bullet"/>
      <w:lvlText w:val="-"/>
      <w:lvlJc w:val="left"/>
      <w:pPr>
        <w:ind w:left="720" w:hanging="360"/>
      </w:pPr>
      <w:rPr>
        <w:rFonts w:ascii="Titillium Web" w:eastAsiaTheme="minorHAnsi" w:hAnsi="Titillium Web"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D7C58A4"/>
    <w:multiLevelType w:val="hybridMultilevel"/>
    <w:tmpl w:val="A0764B02"/>
    <w:lvl w:ilvl="0" w:tplc="A19202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1"/>
  </w:num>
  <w:num w:numId="4">
    <w:abstractNumId w:val="23"/>
  </w:num>
  <w:num w:numId="5">
    <w:abstractNumId w:val="19"/>
  </w:num>
  <w:num w:numId="6">
    <w:abstractNumId w:val="13"/>
  </w:num>
  <w:num w:numId="7">
    <w:abstractNumId w:val="12"/>
  </w:num>
  <w:num w:numId="8">
    <w:abstractNumId w:val="29"/>
  </w:num>
  <w:num w:numId="9">
    <w:abstractNumId w:val="24"/>
  </w:num>
  <w:num w:numId="10">
    <w:abstractNumId w:val="15"/>
  </w:num>
  <w:num w:numId="11">
    <w:abstractNumId w:val="27"/>
  </w:num>
  <w:num w:numId="12">
    <w:abstractNumId w:val="25"/>
  </w:num>
  <w:num w:numId="13">
    <w:abstractNumId w:val="1"/>
  </w:num>
  <w:num w:numId="14">
    <w:abstractNumId w:val="22"/>
  </w:num>
  <w:num w:numId="15">
    <w:abstractNumId w:val="9"/>
  </w:num>
  <w:num w:numId="16">
    <w:abstractNumId w:val="26"/>
  </w:num>
  <w:num w:numId="17">
    <w:abstractNumId w:val="0"/>
  </w:num>
  <w:num w:numId="18">
    <w:abstractNumId w:val="10"/>
  </w:num>
  <w:num w:numId="19">
    <w:abstractNumId w:val="16"/>
  </w:num>
  <w:num w:numId="20">
    <w:abstractNumId w:val="14"/>
  </w:num>
  <w:num w:numId="21">
    <w:abstractNumId w:val="4"/>
  </w:num>
  <w:num w:numId="22">
    <w:abstractNumId w:val="6"/>
  </w:num>
  <w:num w:numId="23">
    <w:abstractNumId w:val="8"/>
  </w:num>
  <w:num w:numId="24">
    <w:abstractNumId w:val="7"/>
  </w:num>
  <w:num w:numId="25">
    <w:abstractNumId w:val="11"/>
  </w:num>
  <w:num w:numId="26">
    <w:abstractNumId w:val="2"/>
  </w:num>
  <w:num w:numId="27">
    <w:abstractNumId w:val="20"/>
  </w:num>
  <w:num w:numId="28">
    <w:abstractNumId w:val="17"/>
  </w:num>
  <w:num w:numId="29">
    <w:abstractNumId w:val="18"/>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F6F"/>
    <w:rsid w:val="000013AC"/>
    <w:rsid w:val="00026E2B"/>
    <w:rsid w:val="00036C28"/>
    <w:rsid w:val="0004375D"/>
    <w:rsid w:val="00052B80"/>
    <w:rsid w:val="00064256"/>
    <w:rsid w:val="00067536"/>
    <w:rsid w:val="00071867"/>
    <w:rsid w:val="00072AEF"/>
    <w:rsid w:val="0009017C"/>
    <w:rsid w:val="000A4C3E"/>
    <w:rsid w:val="000A7085"/>
    <w:rsid w:val="000B3919"/>
    <w:rsid w:val="000B6AAF"/>
    <w:rsid w:val="000C3914"/>
    <w:rsid w:val="000D2909"/>
    <w:rsid w:val="000E3801"/>
    <w:rsid w:val="000E5630"/>
    <w:rsid w:val="000E5BF9"/>
    <w:rsid w:val="000F0BCF"/>
    <w:rsid w:val="000F3AF4"/>
    <w:rsid w:val="001040A8"/>
    <w:rsid w:val="001135B0"/>
    <w:rsid w:val="00125191"/>
    <w:rsid w:val="0012597F"/>
    <w:rsid w:val="00126919"/>
    <w:rsid w:val="00131617"/>
    <w:rsid w:val="00133478"/>
    <w:rsid w:val="00133756"/>
    <w:rsid w:val="001339F2"/>
    <w:rsid w:val="0014134A"/>
    <w:rsid w:val="00142C87"/>
    <w:rsid w:val="001431F6"/>
    <w:rsid w:val="0014796C"/>
    <w:rsid w:val="00147D51"/>
    <w:rsid w:val="001656C8"/>
    <w:rsid w:val="00171F15"/>
    <w:rsid w:val="001736EE"/>
    <w:rsid w:val="00180E29"/>
    <w:rsid w:val="001813B4"/>
    <w:rsid w:val="00186268"/>
    <w:rsid w:val="0019764C"/>
    <w:rsid w:val="00197733"/>
    <w:rsid w:val="001A0063"/>
    <w:rsid w:val="001A4987"/>
    <w:rsid w:val="001B29F8"/>
    <w:rsid w:val="001B2B65"/>
    <w:rsid w:val="001B4142"/>
    <w:rsid w:val="001B6662"/>
    <w:rsid w:val="001D153F"/>
    <w:rsid w:val="001D4D9F"/>
    <w:rsid w:val="001E783A"/>
    <w:rsid w:val="001E7C0C"/>
    <w:rsid w:val="001F205A"/>
    <w:rsid w:val="001F2294"/>
    <w:rsid w:val="001F48BA"/>
    <w:rsid w:val="00203A2D"/>
    <w:rsid w:val="00207C79"/>
    <w:rsid w:val="00207DAC"/>
    <w:rsid w:val="002117DB"/>
    <w:rsid w:val="00215165"/>
    <w:rsid w:val="00217673"/>
    <w:rsid w:val="00227150"/>
    <w:rsid w:val="00241DC5"/>
    <w:rsid w:val="00244005"/>
    <w:rsid w:val="00250A63"/>
    <w:rsid w:val="00250A8D"/>
    <w:rsid w:val="00264EE8"/>
    <w:rsid w:val="00271910"/>
    <w:rsid w:val="00277EF3"/>
    <w:rsid w:val="00281A52"/>
    <w:rsid w:val="00291279"/>
    <w:rsid w:val="00296891"/>
    <w:rsid w:val="002A3026"/>
    <w:rsid w:val="002A6585"/>
    <w:rsid w:val="002B323E"/>
    <w:rsid w:val="002B62C2"/>
    <w:rsid w:val="002B7F02"/>
    <w:rsid w:val="002C129C"/>
    <w:rsid w:val="002C2E4C"/>
    <w:rsid w:val="002C4D68"/>
    <w:rsid w:val="002D05AD"/>
    <w:rsid w:val="002D2D43"/>
    <w:rsid w:val="002D377F"/>
    <w:rsid w:val="002D3DD9"/>
    <w:rsid w:val="002D77F7"/>
    <w:rsid w:val="002E0C81"/>
    <w:rsid w:val="002E37FC"/>
    <w:rsid w:val="002E6C6C"/>
    <w:rsid w:val="002E6EC2"/>
    <w:rsid w:val="00303CAD"/>
    <w:rsid w:val="0030617A"/>
    <w:rsid w:val="00312516"/>
    <w:rsid w:val="0031676F"/>
    <w:rsid w:val="0032442F"/>
    <w:rsid w:val="003264B8"/>
    <w:rsid w:val="0032685D"/>
    <w:rsid w:val="00331998"/>
    <w:rsid w:val="0033516A"/>
    <w:rsid w:val="0034679F"/>
    <w:rsid w:val="00350E98"/>
    <w:rsid w:val="003556ED"/>
    <w:rsid w:val="00362978"/>
    <w:rsid w:val="00367F22"/>
    <w:rsid w:val="00372A3C"/>
    <w:rsid w:val="00377325"/>
    <w:rsid w:val="003824CB"/>
    <w:rsid w:val="003A40C1"/>
    <w:rsid w:val="003A660B"/>
    <w:rsid w:val="003B4C69"/>
    <w:rsid w:val="003B544E"/>
    <w:rsid w:val="003C4F58"/>
    <w:rsid w:val="003C5A6F"/>
    <w:rsid w:val="003E3532"/>
    <w:rsid w:val="003F6E32"/>
    <w:rsid w:val="00401796"/>
    <w:rsid w:val="00402BBD"/>
    <w:rsid w:val="00407F19"/>
    <w:rsid w:val="00413683"/>
    <w:rsid w:val="00417956"/>
    <w:rsid w:val="0043369B"/>
    <w:rsid w:val="00437B56"/>
    <w:rsid w:val="00440CA5"/>
    <w:rsid w:val="0044449A"/>
    <w:rsid w:val="004473D3"/>
    <w:rsid w:val="00453D66"/>
    <w:rsid w:val="00461EF3"/>
    <w:rsid w:val="00464959"/>
    <w:rsid w:val="00476D96"/>
    <w:rsid w:val="0048005A"/>
    <w:rsid w:val="004835C4"/>
    <w:rsid w:val="004902C7"/>
    <w:rsid w:val="00490DF4"/>
    <w:rsid w:val="0049353B"/>
    <w:rsid w:val="004959F1"/>
    <w:rsid w:val="004A1DF4"/>
    <w:rsid w:val="004A702F"/>
    <w:rsid w:val="004A7DA1"/>
    <w:rsid w:val="004C29AE"/>
    <w:rsid w:val="004C61DC"/>
    <w:rsid w:val="004C68D3"/>
    <w:rsid w:val="004F421B"/>
    <w:rsid w:val="00501C81"/>
    <w:rsid w:val="005052C5"/>
    <w:rsid w:val="00511CDF"/>
    <w:rsid w:val="0052116D"/>
    <w:rsid w:val="0052263F"/>
    <w:rsid w:val="0053374C"/>
    <w:rsid w:val="00543650"/>
    <w:rsid w:val="00550438"/>
    <w:rsid w:val="005540DB"/>
    <w:rsid w:val="0055743C"/>
    <w:rsid w:val="00562206"/>
    <w:rsid w:val="0056279C"/>
    <w:rsid w:val="00574858"/>
    <w:rsid w:val="005761D3"/>
    <w:rsid w:val="005772E3"/>
    <w:rsid w:val="00577460"/>
    <w:rsid w:val="005843A7"/>
    <w:rsid w:val="00592300"/>
    <w:rsid w:val="0059314A"/>
    <w:rsid w:val="005948BE"/>
    <w:rsid w:val="005A7072"/>
    <w:rsid w:val="005C11F2"/>
    <w:rsid w:val="005C3520"/>
    <w:rsid w:val="005D1EC7"/>
    <w:rsid w:val="005E7190"/>
    <w:rsid w:val="005F0698"/>
    <w:rsid w:val="005F2237"/>
    <w:rsid w:val="00606DEF"/>
    <w:rsid w:val="00615581"/>
    <w:rsid w:val="00630E79"/>
    <w:rsid w:val="00671F3E"/>
    <w:rsid w:val="00676320"/>
    <w:rsid w:val="00677637"/>
    <w:rsid w:val="00682502"/>
    <w:rsid w:val="00686AF3"/>
    <w:rsid w:val="00691F7E"/>
    <w:rsid w:val="006A05E7"/>
    <w:rsid w:val="006A2146"/>
    <w:rsid w:val="006B14D6"/>
    <w:rsid w:val="006B2097"/>
    <w:rsid w:val="006B2579"/>
    <w:rsid w:val="006B3D44"/>
    <w:rsid w:val="006B64B4"/>
    <w:rsid w:val="006C2F46"/>
    <w:rsid w:val="006C4B7B"/>
    <w:rsid w:val="006C61B5"/>
    <w:rsid w:val="006C7B48"/>
    <w:rsid w:val="006D0F97"/>
    <w:rsid w:val="006D2B1E"/>
    <w:rsid w:val="006D7C2D"/>
    <w:rsid w:val="006D7D58"/>
    <w:rsid w:val="006E3D4E"/>
    <w:rsid w:val="006E7E0D"/>
    <w:rsid w:val="006F29BE"/>
    <w:rsid w:val="006F3853"/>
    <w:rsid w:val="006F4893"/>
    <w:rsid w:val="00702D08"/>
    <w:rsid w:val="00703975"/>
    <w:rsid w:val="00703A2B"/>
    <w:rsid w:val="00703B09"/>
    <w:rsid w:val="00704031"/>
    <w:rsid w:val="0071495D"/>
    <w:rsid w:val="007221F9"/>
    <w:rsid w:val="0072223A"/>
    <w:rsid w:val="00722B5B"/>
    <w:rsid w:val="0072602B"/>
    <w:rsid w:val="00726F61"/>
    <w:rsid w:val="00730B2D"/>
    <w:rsid w:val="007315EE"/>
    <w:rsid w:val="007324C3"/>
    <w:rsid w:val="007327CD"/>
    <w:rsid w:val="007412BC"/>
    <w:rsid w:val="00746834"/>
    <w:rsid w:val="0074791C"/>
    <w:rsid w:val="007538A2"/>
    <w:rsid w:val="00763421"/>
    <w:rsid w:val="00764A8E"/>
    <w:rsid w:val="0077158B"/>
    <w:rsid w:val="007751EC"/>
    <w:rsid w:val="00776D04"/>
    <w:rsid w:val="0078221E"/>
    <w:rsid w:val="00794F8D"/>
    <w:rsid w:val="0079592A"/>
    <w:rsid w:val="0079799F"/>
    <w:rsid w:val="007A219E"/>
    <w:rsid w:val="007B5802"/>
    <w:rsid w:val="007C3C57"/>
    <w:rsid w:val="007C6381"/>
    <w:rsid w:val="007D14D0"/>
    <w:rsid w:val="007D27AA"/>
    <w:rsid w:val="007D3264"/>
    <w:rsid w:val="007D4BC4"/>
    <w:rsid w:val="0080469A"/>
    <w:rsid w:val="00805084"/>
    <w:rsid w:val="0081164F"/>
    <w:rsid w:val="008202E5"/>
    <w:rsid w:val="00833A5F"/>
    <w:rsid w:val="00851C2B"/>
    <w:rsid w:val="008558AD"/>
    <w:rsid w:val="00856176"/>
    <w:rsid w:val="00865B9D"/>
    <w:rsid w:val="008679C9"/>
    <w:rsid w:val="00876BD9"/>
    <w:rsid w:val="00877A7A"/>
    <w:rsid w:val="00885F95"/>
    <w:rsid w:val="00892611"/>
    <w:rsid w:val="008A003A"/>
    <w:rsid w:val="008B43BC"/>
    <w:rsid w:val="008B575D"/>
    <w:rsid w:val="008C3AAB"/>
    <w:rsid w:val="008D0925"/>
    <w:rsid w:val="008D6E63"/>
    <w:rsid w:val="00900218"/>
    <w:rsid w:val="00904752"/>
    <w:rsid w:val="00907145"/>
    <w:rsid w:val="0091633A"/>
    <w:rsid w:val="00922ADD"/>
    <w:rsid w:val="00923CE9"/>
    <w:rsid w:val="0093042E"/>
    <w:rsid w:val="00931203"/>
    <w:rsid w:val="00933036"/>
    <w:rsid w:val="00943FCF"/>
    <w:rsid w:val="00945BFE"/>
    <w:rsid w:val="00953BB7"/>
    <w:rsid w:val="009554D8"/>
    <w:rsid w:val="009607FE"/>
    <w:rsid w:val="00962318"/>
    <w:rsid w:val="00963EA2"/>
    <w:rsid w:val="00971EF3"/>
    <w:rsid w:val="009753F1"/>
    <w:rsid w:val="009808C3"/>
    <w:rsid w:val="009871E6"/>
    <w:rsid w:val="009967C9"/>
    <w:rsid w:val="009B2A1D"/>
    <w:rsid w:val="009C4EEE"/>
    <w:rsid w:val="009E355E"/>
    <w:rsid w:val="009E5456"/>
    <w:rsid w:val="009F1FBD"/>
    <w:rsid w:val="009F2FA4"/>
    <w:rsid w:val="009F7DF6"/>
    <w:rsid w:val="00A014BC"/>
    <w:rsid w:val="00A056E6"/>
    <w:rsid w:val="00A12F6E"/>
    <w:rsid w:val="00A35AF8"/>
    <w:rsid w:val="00A4640C"/>
    <w:rsid w:val="00A518F5"/>
    <w:rsid w:val="00A53C68"/>
    <w:rsid w:val="00A56FE2"/>
    <w:rsid w:val="00A775A9"/>
    <w:rsid w:val="00A87CD4"/>
    <w:rsid w:val="00A95EAB"/>
    <w:rsid w:val="00AA3DEE"/>
    <w:rsid w:val="00AA4668"/>
    <w:rsid w:val="00AB7352"/>
    <w:rsid w:val="00AC087E"/>
    <w:rsid w:val="00AC358B"/>
    <w:rsid w:val="00AE3F85"/>
    <w:rsid w:val="00B020A3"/>
    <w:rsid w:val="00B04899"/>
    <w:rsid w:val="00B117B1"/>
    <w:rsid w:val="00B15A74"/>
    <w:rsid w:val="00B21FB0"/>
    <w:rsid w:val="00B27F1C"/>
    <w:rsid w:val="00B423AE"/>
    <w:rsid w:val="00B6260C"/>
    <w:rsid w:val="00B80994"/>
    <w:rsid w:val="00B81E29"/>
    <w:rsid w:val="00B8758B"/>
    <w:rsid w:val="00B95E8B"/>
    <w:rsid w:val="00BA1A75"/>
    <w:rsid w:val="00BA4354"/>
    <w:rsid w:val="00BB0DBB"/>
    <w:rsid w:val="00BB4B60"/>
    <w:rsid w:val="00BC4627"/>
    <w:rsid w:val="00BC5FCA"/>
    <w:rsid w:val="00BC7A3D"/>
    <w:rsid w:val="00BD0B38"/>
    <w:rsid w:val="00BD5228"/>
    <w:rsid w:val="00BE1371"/>
    <w:rsid w:val="00BE2157"/>
    <w:rsid w:val="00BE4297"/>
    <w:rsid w:val="00BE4720"/>
    <w:rsid w:val="00BF3BF7"/>
    <w:rsid w:val="00BF5D43"/>
    <w:rsid w:val="00C01FF9"/>
    <w:rsid w:val="00C07B7E"/>
    <w:rsid w:val="00C146B1"/>
    <w:rsid w:val="00C1644E"/>
    <w:rsid w:val="00C2049D"/>
    <w:rsid w:val="00C25C84"/>
    <w:rsid w:val="00C26D77"/>
    <w:rsid w:val="00C27F80"/>
    <w:rsid w:val="00C31FB6"/>
    <w:rsid w:val="00C34F6F"/>
    <w:rsid w:val="00C522CC"/>
    <w:rsid w:val="00C52BFE"/>
    <w:rsid w:val="00C5471A"/>
    <w:rsid w:val="00C5791E"/>
    <w:rsid w:val="00C610E8"/>
    <w:rsid w:val="00C65283"/>
    <w:rsid w:val="00C66D72"/>
    <w:rsid w:val="00C70E64"/>
    <w:rsid w:val="00C72AEE"/>
    <w:rsid w:val="00C73C7E"/>
    <w:rsid w:val="00C8172F"/>
    <w:rsid w:val="00C8250A"/>
    <w:rsid w:val="00C83754"/>
    <w:rsid w:val="00C918BE"/>
    <w:rsid w:val="00C966DB"/>
    <w:rsid w:val="00CA1333"/>
    <w:rsid w:val="00CA70DF"/>
    <w:rsid w:val="00CB273D"/>
    <w:rsid w:val="00CB2DA5"/>
    <w:rsid w:val="00CB6B63"/>
    <w:rsid w:val="00CC3E4C"/>
    <w:rsid w:val="00CC3F40"/>
    <w:rsid w:val="00CD2BCE"/>
    <w:rsid w:val="00CD5A7E"/>
    <w:rsid w:val="00CE1513"/>
    <w:rsid w:val="00CF29C4"/>
    <w:rsid w:val="00CF2D19"/>
    <w:rsid w:val="00D01638"/>
    <w:rsid w:val="00D017F0"/>
    <w:rsid w:val="00D07A13"/>
    <w:rsid w:val="00D125C6"/>
    <w:rsid w:val="00D12D54"/>
    <w:rsid w:val="00D2245E"/>
    <w:rsid w:val="00D33097"/>
    <w:rsid w:val="00D42F02"/>
    <w:rsid w:val="00D5172B"/>
    <w:rsid w:val="00D541E9"/>
    <w:rsid w:val="00D55B93"/>
    <w:rsid w:val="00D60135"/>
    <w:rsid w:val="00D60AB4"/>
    <w:rsid w:val="00D61B22"/>
    <w:rsid w:val="00D620DB"/>
    <w:rsid w:val="00D64E36"/>
    <w:rsid w:val="00D71304"/>
    <w:rsid w:val="00D71307"/>
    <w:rsid w:val="00D71CD8"/>
    <w:rsid w:val="00D72C6F"/>
    <w:rsid w:val="00D75FD8"/>
    <w:rsid w:val="00D7623F"/>
    <w:rsid w:val="00D8208F"/>
    <w:rsid w:val="00D84EA6"/>
    <w:rsid w:val="00D92DE6"/>
    <w:rsid w:val="00D96F45"/>
    <w:rsid w:val="00DA29B0"/>
    <w:rsid w:val="00DA2C11"/>
    <w:rsid w:val="00DA67D4"/>
    <w:rsid w:val="00DA68DF"/>
    <w:rsid w:val="00DA6BB9"/>
    <w:rsid w:val="00DB12D0"/>
    <w:rsid w:val="00DC0047"/>
    <w:rsid w:val="00DC79D7"/>
    <w:rsid w:val="00DD19DA"/>
    <w:rsid w:val="00DE40E4"/>
    <w:rsid w:val="00DE74DF"/>
    <w:rsid w:val="00DE7D16"/>
    <w:rsid w:val="00DF178C"/>
    <w:rsid w:val="00DF414B"/>
    <w:rsid w:val="00DF5BD4"/>
    <w:rsid w:val="00DF689E"/>
    <w:rsid w:val="00E033CB"/>
    <w:rsid w:val="00E10060"/>
    <w:rsid w:val="00E14B05"/>
    <w:rsid w:val="00E346B2"/>
    <w:rsid w:val="00E40B68"/>
    <w:rsid w:val="00E41CE9"/>
    <w:rsid w:val="00E4249F"/>
    <w:rsid w:val="00E43099"/>
    <w:rsid w:val="00E52D3B"/>
    <w:rsid w:val="00E60F28"/>
    <w:rsid w:val="00E653A8"/>
    <w:rsid w:val="00E71EC8"/>
    <w:rsid w:val="00E86754"/>
    <w:rsid w:val="00E94DCD"/>
    <w:rsid w:val="00EA167F"/>
    <w:rsid w:val="00EA3AD3"/>
    <w:rsid w:val="00EA4FD6"/>
    <w:rsid w:val="00EC0DBF"/>
    <w:rsid w:val="00EC2C7D"/>
    <w:rsid w:val="00EC580D"/>
    <w:rsid w:val="00EC7FB4"/>
    <w:rsid w:val="00ED14F0"/>
    <w:rsid w:val="00ED7EE6"/>
    <w:rsid w:val="00EE20ED"/>
    <w:rsid w:val="00EE605E"/>
    <w:rsid w:val="00EE7B2F"/>
    <w:rsid w:val="00EF167E"/>
    <w:rsid w:val="00EF6707"/>
    <w:rsid w:val="00F0230D"/>
    <w:rsid w:val="00F04BAF"/>
    <w:rsid w:val="00F23A91"/>
    <w:rsid w:val="00F34609"/>
    <w:rsid w:val="00F418EC"/>
    <w:rsid w:val="00F44351"/>
    <w:rsid w:val="00F5790B"/>
    <w:rsid w:val="00F603BC"/>
    <w:rsid w:val="00F85CC3"/>
    <w:rsid w:val="00F9120A"/>
    <w:rsid w:val="00FA0017"/>
    <w:rsid w:val="00FB2610"/>
    <w:rsid w:val="00FB4540"/>
    <w:rsid w:val="00FB72C4"/>
    <w:rsid w:val="00FC3A87"/>
    <w:rsid w:val="00FC416B"/>
    <w:rsid w:val="00FC6475"/>
    <w:rsid w:val="00FD2899"/>
    <w:rsid w:val="00FD5326"/>
    <w:rsid w:val="00FD6300"/>
    <w:rsid w:val="00FE0C97"/>
    <w:rsid w:val="00FE125A"/>
    <w:rsid w:val="00FE23E6"/>
    <w:rsid w:val="00FE2666"/>
    <w:rsid w:val="00FF3BA8"/>
    <w:rsid w:val="00FF5F0F"/>
    <w:rsid w:val="105683B8"/>
    <w:rsid w:val="13D24301"/>
    <w:rsid w:val="1E0A52AA"/>
    <w:rsid w:val="21594D65"/>
    <w:rsid w:val="65BF0E36"/>
    <w:rsid w:val="663E999F"/>
    <w:rsid w:val="7B8352A9"/>
    <w:rsid w:val="7B9383D1"/>
    <w:rsid w:val="7DEA4C3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5E4A66"/>
  <w14:defaultImageDpi w14:val="300"/>
  <w15:docId w15:val="{1A743E0D-638A-4E6A-9CF1-E1FE9FDC7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A1DF4"/>
    <w:rPr>
      <w:rFonts w:eastAsiaTheme="minorHAnsi"/>
      <w:lang w:eastAsia="en-US"/>
    </w:rPr>
  </w:style>
  <w:style w:type="paragraph" w:styleId="Titolo1">
    <w:name w:val="heading 1"/>
    <w:basedOn w:val="Normale"/>
    <w:next w:val="Normale"/>
    <w:link w:val="Titolo1Carattere"/>
    <w:uiPriority w:val="9"/>
    <w:qFormat/>
    <w:rsid w:val="003A660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semiHidden/>
    <w:unhideWhenUsed/>
    <w:qFormat/>
    <w:rsid w:val="00DC004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34F6F"/>
    <w:pPr>
      <w:tabs>
        <w:tab w:val="center" w:pos="4819"/>
        <w:tab w:val="right" w:pos="9638"/>
      </w:tabs>
    </w:pPr>
    <w:rPr>
      <w:rFonts w:ascii="Times New Roman" w:eastAsiaTheme="minorEastAsia" w:hAnsi="Times New Roman"/>
      <w:lang w:eastAsia="it-IT"/>
    </w:rPr>
  </w:style>
  <w:style w:type="character" w:customStyle="1" w:styleId="IntestazioneCarattere">
    <w:name w:val="Intestazione Carattere"/>
    <w:basedOn w:val="Carpredefinitoparagrafo"/>
    <w:link w:val="Intestazione"/>
    <w:uiPriority w:val="99"/>
    <w:rsid w:val="00C34F6F"/>
    <w:rPr>
      <w:rFonts w:ascii="Times New Roman" w:hAnsi="Times New Roman"/>
    </w:rPr>
  </w:style>
  <w:style w:type="paragraph" w:styleId="Pidipagina">
    <w:name w:val="footer"/>
    <w:basedOn w:val="Normale"/>
    <w:link w:val="PidipaginaCarattere"/>
    <w:uiPriority w:val="99"/>
    <w:unhideWhenUsed/>
    <w:rsid w:val="00C34F6F"/>
    <w:pPr>
      <w:tabs>
        <w:tab w:val="center" w:pos="4819"/>
        <w:tab w:val="right" w:pos="9638"/>
      </w:tabs>
    </w:pPr>
    <w:rPr>
      <w:rFonts w:ascii="Times New Roman" w:eastAsiaTheme="minorEastAsia" w:hAnsi="Times New Roman"/>
      <w:lang w:eastAsia="it-IT"/>
    </w:rPr>
  </w:style>
  <w:style w:type="character" w:customStyle="1" w:styleId="PidipaginaCarattere">
    <w:name w:val="Piè di pagina Carattere"/>
    <w:basedOn w:val="Carpredefinitoparagrafo"/>
    <w:link w:val="Pidipagina"/>
    <w:uiPriority w:val="99"/>
    <w:rsid w:val="00C34F6F"/>
    <w:rPr>
      <w:rFonts w:ascii="Times New Roman" w:hAnsi="Times New Roman"/>
    </w:rPr>
  </w:style>
  <w:style w:type="paragraph" w:styleId="Testofumetto">
    <w:name w:val="Balloon Text"/>
    <w:basedOn w:val="Normale"/>
    <w:link w:val="TestofumettoCarattere"/>
    <w:uiPriority w:val="99"/>
    <w:semiHidden/>
    <w:unhideWhenUsed/>
    <w:rsid w:val="00C34F6F"/>
    <w:rPr>
      <w:rFonts w:ascii="Lucida Grande" w:eastAsiaTheme="minorEastAsia" w:hAnsi="Lucida Grande" w:cs="Lucida Grande"/>
      <w:sz w:val="18"/>
      <w:szCs w:val="18"/>
      <w:lang w:eastAsia="it-IT"/>
    </w:rPr>
  </w:style>
  <w:style w:type="character" w:customStyle="1" w:styleId="TestofumettoCarattere">
    <w:name w:val="Testo fumetto Carattere"/>
    <w:basedOn w:val="Carpredefinitoparagrafo"/>
    <w:link w:val="Testofumetto"/>
    <w:uiPriority w:val="99"/>
    <w:semiHidden/>
    <w:rsid w:val="00C34F6F"/>
    <w:rPr>
      <w:rFonts w:ascii="Lucida Grande" w:hAnsi="Lucida Grande" w:cs="Lucida Grande"/>
      <w:sz w:val="18"/>
      <w:szCs w:val="18"/>
    </w:rPr>
  </w:style>
  <w:style w:type="character" w:customStyle="1" w:styleId="eop">
    <w:name w:val="eop"/>
    <w:basedOn w:val="Carpredefinitoparagrafo"/>
    <w:rsid w:val="004A1DF4"/>
  </w:style>
  <w:style w:type="table" w:styleId="Grigliatabella">
    <w:name w:val="Table Grid"/>
    <w:basedOn w:val="Tabellanormale"/>
    <w:uiPriority w:val="39"/>
    <w:rsid w:val="004A1DF4"/>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9967C9"/>
    <w:pPr>
      <w:widowControl w:val="0"/>
      <w:autoSpaceDE w:val="0"/>
      <w:autoSpaceDN w:val="0"/>
      <w:ind w:left="208"/>
    </w:pPr>
    <w:rPr>
      <w:rFonts w:ascii="Calibri" w:eastAsia="Calibri" w:hAnsi="Calibri" w:cs="Calibri"/>
      <w:sz w:val="20"/>
      <w:szCs w:val="20"/>
    </w:rPr>
  </w:style>
  <w:style w:type="character" w:customStyle="1" w:styleId="CorpotestoCarattere">
    <w:name w:val="Corpo testo Carattere"/>
    <w:basedOn w:val="Carpredefinitoparagrafo"/>
    <w:link w:val="Corpotesto"/>
    <w:uiPriority w:val="1"/>
    <w:rsid w:val="009967C9"/>
    <w:rPr>
      <w:rFonts w:ascii="Calibri" w:eastAsia="Calibri" w:hAnsi="Calibri" w:cs="Calibri"/>
      <w:sz w:val="20"/>
      <w:szCs w:val="20"/>
      <w:lang w:eastAsia="en-US"/>
    </w:rPr>
  </w:style>
  <w:style w:type="character" w:styleId="Collegamentoipertestuale">
    <w:name w:val="Hyperlink"/>
    <w:basedOn w:val="Carpredefinitoparagrafo"/>
    <w:uiPriority w:val="99"/>
    <w:unhideWhenUsed/>
    <w:rsid w:val="009967C9"/>
    <w:rPr>
      <w:color w:val="0000FF" w:themeColor="hyperlink"/>
      <w:u w:val="single"/>
    </w:rPr>
  </w:style>
  <w:style w:type="paragraph" w:customStyle="1" w:styleId="TableParagraph">
    <w:name w:val="Table Paragraph"/>
    <w:basedOn w:val="Normale"/>
    <w:uiPriority w:val="1"/>
    <w:qFormat/>
    <w:rsid w:val="009967C9"/>
    <w:pPr>
      <w:widowControl w:val="0"/>
      <w:autoSpaceDE w:val="0"/>
      <w:autoSpaceDN w:val="0"/>
    </w:pPr>
    <w:rPr>
      <w:rFonts w:ascii="Microsoft Sans Serif" w:eastAsia="Microsoft Sans Serif" w:hAnsi="Microsoft Sans Serif" w:cs="Microsoft Sans Serif"/>
      <w:sz w:val="22"/>
      <w:szCs w:val="22"/>
    </w:rPr>
  </w:style>
  <w:style w:type="paragraph" w:customStyle="1" w:styleId="AVisto">
    <w:name w:val="A_Visto"/>
    <w:basedOn w:val="Corpotesto"/>
    <w:rsid w:val="002C4D68"/>
    <w:pPr>
      <w:spacing w:before="120"/>
      <w:ind w:left="709" w:hanging="709"/>
      <w:jc w:val="both"/>
    </w:pPr>
    <w:rPr>
      <w:rFonts w:cstheme="minorHAnsi"/>
      <w:color w:val="010202"/>
      <w:sz w:val="22"/>
      <w:szCs w:val="22"/>
    </w:rPr>
  </w:style>
  <w:style w:type="paragraph" w:customStyle="1" w:styleId="Titolo11">
    <w:name w:val="Titolo 11"/>
    <w:basedOn w:val="Normale"/>
    <w:uiPriority w:val="1"/>
    <w:qFormat/>
    <w:rsid w:val="002C4D68"/>
    <w:pPr>
      <w:widowControl w:val="0"/>
      <w:autoSpaceDE w:val="0"/>
      <w:autoSpaceDN w:val="0"/>
      <w:adjustRightInd w:val="0"/>
      <w:spacing w:before="21"/>
      <w:ind w:left="639"/>
      <w:outlineLvl w:val="0"/>
    </w:pPr>
    <w:rPr>
      <w:rFonts w:ascii="Arial" w:eastAsia="Times New Roman" w:hAnsi="Arial" w:cs="Arial"/>
      <w:sz w:val="25"/>
      <w:szCs w:val="25"/>
      <w:lang w:eastAsia="it-IT"/>
    </w:rPr>
  </w:style>
  <w:style w:type="paragraph" w:customStyle="1" w:styleId="ATesto">
    <w:name w:val="A_Testo"/>
    <w:basedOn w:val="Normale"/>
    <w:rsid w:val="002C4D68"/>
    <w:pPr>
      <w:autoSpaceDE w:val="0"/>
      <w:autoSpaceDN w:val="0"/>
      <w:adjustRightInd w:val="0"/>
      <w:spacing w:before="60"/>
      <w:jc w:val="both"/>
    </w:pPr>
    <w:rPr>
      <w:rFonts w:ascii="Calibri" w:eastAsia="Times New Roman" w:hAnsi="Calibri" w:cstheme="minorHAnsi"/>
      <w:color w:val="000000"/>
      <w:sz w:val="22"/>
      <w:szCs w:val="22"/>
    </w:rPr>
  </w:style>
  <w:style w:type="paragraph" w:customStyle="1" w:styleId="AArticolo">
    <w:name w:val="A_Articolo"/>
    <w:basedOn w:val="Normale"/>
    <w:rsid w:val="002C4D68"/>
    <w:pPr>
      <w:keepNext/>
      <w:autoSpaceDE w:val="0"/>
      <w:autoSpaceDN w:val="0"/>
      <w:adjustRightInd w:val="0"/>
      <w:spacing w:before="240"/>
      <w:jc w:val="center"/>
    </w:pPr>
    <w:rPr>
      <w:rFonts w:ascii="Calibri" w:eastAsia="Times New Roman" w:hAnsi="Calibri" w:cstheme="minorHAnsi"/>
      <w:b/>
      <w:bCs/>
      <w:color w:val="000000"/>
      <w:sz w:val="22"/>
      <w:szCs w:val="22"/>
    </w:rPr>
  </w:style>
  <w:style w:type="character" w:styleId="Collegamentovisitato">
    <w:name w:val="FollowedHyperlink"/>
    <w:basedOn w:val="Carpredefinitoparagrafo"/>
    <w:uiPriority w:val="99"/>
    <w:semiHidden/>
    <w:unhideWhenUsed/>
    <w:rsid w:val="002C4D68"/>
    <w:rPr>
      <w:color w:val="800080" w:themeColor="followedHyperlink"/>
      <w:u w:val="single"/>
    </w:rPr>
  </w:style>
  <w:style w:type="character" w:customStyle="1" w:styleId="Titolo2Carattere">
    <w:name w:val="Titolo 2 Carattere"/>
    <w:basedOn w:val="Carpredefinitoparagrafo"/>
    <w:link w:val="Titolo2"/>
    <w:uiPriority w:val="9"/>
    <w:semiHidden/>
    <w:rsid w:val="00DC0047"/>
    <w:rPr>
      <w:rFonts w:asciiTheme="majorHAnsi" w:eastAsiaTheme="majorEastAsia" w:hAnsiTheme="majorHAnsi" w:cstheme="majorBidi"/>
      <w:color w:val="365F91" w:themeColor="accent1" w:themeShade="BF"/>
      <w:sz w:val="26"/>
      <w:szCs w:val="26"/>
      <w:lang w:eastAsia="en-US"/>
    </w:rPr>
  </w:style>
  <w:style w:type="character" w:customStyle="1" w:styleId="Menzionenonrisolta1">
    <w:name w:val="Menzione non risolta1"/>
    <w:basedOn w:val="Carpredefinitoparagrafo"/>
    <w:uiPriority w:val="99"/>
    <w:semiHidden/>
    <w:unhideWhenUsed/>
    <w:rsid w:val="00EF167E"/>
    <w:rPr>
      <w:color w:val="605E5C"/>
      <w:shd w:val="clear" w:color="auto" w:fill="E1DFDD"/>
    </w:rPr>
  </w:style>
  <w:style w:type="character" w:customStyle="1" w:styleId="iceouttxt">
    <w:name w:val="iceouttxt"/>
    <w:basedOn w:val="Carpredefinitoparagrafo"/>
    <w:rsid w:val="00C26D77"/>
  </w:style>
  <w:style w:type="paragraph" w:styleId="Paragrafoelenco">
    <w:name w:val="List Paragraph"/>
    <w:basedOn w:val="Normale"/>
    <w:uiPriority w:val="34"/>
    <w:qFormat/>
    <w:rsid w:val="00D92DE6"/>
    <w:pPr>
      <w:ind w:left="720"/>
      <w:contextualSpacing/>
    </w:pPr>
  </w:style>
  <w:style w:type="paragraph" w:styleId="Rientrocorpodeltesto">
    <w:name w:val="Body Text Indent"/>
    <w:basedOn w:val="Normale"/>
    <w:link w:val="RientrocorpodeltestoCarattere"/>
    <w:uiPriority w:val="99"/>
    <w:semiHidden/>
    <w:unhideWhenUsed/>
    <w:rsid w:val="00BB4B60"/>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BB4B60"/>
    <w:rPr>
      <w:rFonts w:eastAsiaTheme="minorHAnsi"/>
      <w:lang w:eastAsia="en-US"/>
    </w:rPr>
  </w:style>
  <w:style w:type="paragraph" w:customStyle="1" w:styleId="AElenco1">
    <w:name w:val="A_Elenco_1"/>
    <w:basedOn w:val="ATesto"/>
    <w:rsid w:val="00BB4B60"/>
    <w:pPr>
      <w:autoSpaceDE/>
      <w:autoSpaceDN/>
      <w:adjustRightInd/>
      <w:spacing w:line="264" w:lineRule="auto"/>
      <w:ind w:left="426" w:hanging="426"/>
    </w:pPr>
    <w:rPr>
      <w:rFonts w:eastAsia="Calibri" w:cs="Times New Roman"/>
      <w:color w:val="auto"/>
      <w:sz w:val="24"/>
      <w:szCs w:val="24"/>
      <w:lang w:eastAsia="it-IT"/>
    </w:rPr>
  </w:style>
  <w:style w:type="paragraph" w:customStyle="1" w:styleId="AElenco2">
    <w:name w:val="A_Elenco_2"/>
    <w:basedOn w:val="AElenco1"/>
    <w:rsid w:val="00BB4B60"/>
    <w:pPr>
      <w:ind w:left="709" w:hanging="284"/>
    </w:pPr>
  </w:style>
  <w:style w:type="paragraph" w:customStyle="1" w:styleId="ATestoTabella">
    <w:name w:val="A_TestoTabella"/>
    <w:basedOn w:val="ATesto"/>
    <w:rsid w:val="00BB4B60"/>
    <w:pPr>
      <w:autoSpaceDE/>
      <w:autoSpaceDN/>
      <w:adjustRightInd/>
      <w:spacing w:after="60" w:line="264" w:lineRule="auto"/>
      <w:jc w:val="left"/>
    </w:pPr>
    <w:rPr>
      <w:rFonts w:eastAsia="Calibri" w:cs="Times New Roman"/>
      <w:color w:val="auto"/>
      <w:sz w:val="24"/>
      <w:szCs w:val="24"/>
      <w:lang w:eastAsia="it-IT"/>
    </w:rPr>
  </w:style>
  <w:style w:type="paragraph" w:styleId="NormaleWeb">
    <w:name w:val="Normal (Web)"/>
    <w:basedOn w:val="Normale"/>
    <w:uiPriority w:val="99"/>
    <w:unhideWhenUsed/>
    <w:rsid w:val="00BB4B60"/>
    <w:pPr>
      <w:spacing w:before="100" w:beforeAutospacing="1" w:after="100" w:afterAutospacing="1"/>
    </w:pPr>
    <w:rPr>
      <w:rFonts w:ascii="Times New Roman" w:eastAsia="Times New Roman" w:hAnsi="Times New Roman" w:cs="Times New Roman"/>
      <w:lang w:eastAsia="it-IT"/>
    </w:rPr>
  </w:style>
  <w:style w:type="paragraph" w:customStyle="1" w:styleId="ATestoVal">
    <w:name w:val="A_Testo_Val"/>
    <w:basedOn w:val="AElenco2"/>
    <w:rsid w:val="00BB4B60"/>
    <w:pPr>
      <w:ind w:left="284" w:right="566" w:firstLine="0"/>
    </w:pPr>
  </w:style>
  <w:style w:type="character" w:styleId="Numeropagina">
    <w:name w:val="page number"/>
    <w:basedOn w:val="Carpredefinitoparagrafo"/>
    <w:uiPriority w:val="99"/>
    <w:semiHidden/>
    <w:unhideWhenUsed/>
    <w:rsid w:val="00186268"/>
  </w:style>
  <w:style w:type="paragraph" w:styleId="Testonotaapidipagina">
    <w:name w:val="footnote text"/>
    <w:basedOn w:val="Normale"/>
    <w:link w:val="TestonotaapidipaginaCarattere"/>
    <w:uiPriority w:val="99"/>
    <w:unhideWhenUsed/>
    <w:rsid w:val="00DE7D16"/>
    <w:pPr>
      <w:spacing w:before="40"/>
    </w:pPr>
    <w:rPr>
      <w:rFonts w:ascii="Calibri" w:eastAsiaTheme="minorEastAsia" w:hAnsi="Calibri"/>
      <w:sz w:val="16"/>
      <w:lang w:eastAsia="it-IT"/>
    </w:rPr>
  </w:style>
  <w:style w:type="character" w:customStyle="1" w:styleId="TestonotaapidipaginaCarattere">
    <w:name w:val="Testo nota a piè di pagina Carattere"/>
    <w:basedOn w:val="Carpredefinitoparagrafo"/>
    <w:link w:val="Testonotaapidipagina"/>
    <w:uiPriority w:val="99"/>
    <w:rsid w:val="00DE7D16"/>
    <w:rPr>
      <w:rFonts w:ascii="Calibri" w:hAnsi="Calibri"/>
      <w:sz w:val="16"/>
    </w:rPr>
  </w:style>
  <w:style w:type="character" w:styleId="Rimandonotaapidipagina">
    <w:name w:val="footnote reference"/>
    <w:basedOn w:val="Carpredefinitoparagrafo"/>
    <w:uiPriority w:val="99"/>
    <w:unhideWhenUsed/>
    <w:rsid w:val="00DE7D16"/>
    <w:rPr>
      <w:vertAlign w:val="superscript"/>
    </w:rPr>
  </w:style>
  <w:style w:type="character" w:styleId="Menzionenonrisolta">
    <w:name w:val="Unresolved Mention"/>
    <w:basedOn w:val="Carpredefinitoparagrafo"/>
    <w:uiPriority w:val="99"/>
    <w:semiHidden/>
    <w:unhideWhenUsed/>
    <w:rsid w:val="004A7DA1"/>
    <w:rPr>
      <w:color w:val="605E5C"/>
      <w:shd w:val="clear" w:color="auto" w:fill="E1DFDD"/>
    </w:rPr>
  </w:style>
  <w:style w:type="character" w:customStyle="1" w:styleId="Titolo1Carattere">
    <w:name w:val="Titolo 1 Carattere"/>
    <w:basedOn w:val="Carpredefinitoparagrafo"/>
    <w:link w:val="Titolo1"/>
    <w:uiPriority w:val="9"/>
    <w:rsid w:val="003A660B"/>
    <w:rPr>
      <w:rFonts w:asciiTheme="majorHAnsi" w:eastAsiaTheme="majorEastAsia" w:hAnsiTheme="majorHAnsi" w:cstheme="majorBidi"/>
      <w:color w:val="365F91" w:themeColor="accent1" w:themeShade="BF"/>
      <w:sz w:val="32"/>
      <w:szCs w:val="32"/>
      <w:lang w:eastAsia="en-US"/>
    </w:rPr>
  </w:style>
  <w:style w:type="paragraph" w:styleId="Titolosommario">
    <w:name w:val="TOC Heading"/>
    <w:basedOn w:val="Titolo1"/>
    <w:next w:val="Normale"/>
    <w:uiPriority w:val="39"/>
    <w:unhideWhenUsed/>
    <w:qFormat/>
    <w:rsid w:val="003A660B"/>
    <w:pPr>
      <w:spacing w:line="259" w:lineRule="auto"/>
      <w:outlineLvl w:val="9"/>
    </w:pPr>
    <w:rPr>
      <w:lang w:eastAsia="zh-TW"/>
    </w:rPr>
  </w:style>
  <w:style w:type="paragraph" w:styleId="Sommario1">
    <w:name w:val="toc 1"/>
    <w:basedOn w:val="Normale"/>
    <w:next w:val="Normale"/>
    <w:autoRedefine/>
    <w:uiPriority w:val="39"/>
    <w:unhideWhenUsed/>
    <w:rsid w:val="003A660B"/>
    <w:pPr>
      <w:spacing w:after="100"/>
    </w:pPr>
  </w:style>
  <w:style w:type="paragraph" w:styleId="Sommario2">
    <w:name w:val="toc 2"/>
    <w:basedOn w:val="Normale"/>
    <w:next w:val="Normale"/>
    <w:autoRedefine/>
    <w:uiPriority w:val="39"/>
    <w:unhideWhenUsed/>
    <w:rsid w:val="00892611"/>
    <w:pPr>
      <w:spacing w:after="100"/>
      <w:ind w:left="240"/>
    </w:pPr>
  </w:style>
  <w:style w:type="character" w:styleId="Rimandocommento">
    <w:name w:val="annotation reference"/>
    <w:basedOn w:val="Carpredefinitoparagrafo"/>
    <w:uiPriority w:val="99"/>
    <w:semiHidden/>
    <w:unhideWhenUsed/>
    <w:rsid w:val="006B2579"/>
    <w:rPr>
      <w:sz w:val="16"/>
      <w:szCs w:val="16"/>
    </w:rPr>
  </w:style>
  <w:style w:type="paragraph" w:styleId="Testocommento">
    <w:name w:val="annotation text"/>
    <w:basedOn w:val="Normale"/>
    <w:link w:val="TestocommentoCarattere"/>
    <w:uiPriority w:val="99"/>
    <w:unhideWhenUsed/>
    <w:rsid w:val="006B2579"/>
    <w:pPr>
      <w:spacing w:after="160"/>
    </w:pPr>
    <w:rPr>
      <w:sz w:val="20"/>
      <w:szCs w:val="20"/>
      <w14:ligatures w14:val="standardContextual"/>
    </w:rPr>
  </w:style>
  <w:style w:type="character" w:customStyle="1" w:styleId="TestocommentoCarattere">
    <w:name w:val="Testo commento Carattere"/>
    <w:basedOn w:val="Carpredefinitoparagrafo"/>
    <w:link w:val="Testocommento"/>
    <w:uiPriority w:val="99"/>
    <w:rsid w:val="006B2579"/>
    <w:rPr>
      <w:rFonts w:eastAsiaTheme="minorHAnsi"/>
      <w:sz w:val="20"/>
      <w:szCs w:val="20"/>
      <w:lang w:eastAsia="en-US"/>
      <w14:ligatures w14:val="standardContextual"/>
    </w:rPr>
  </w:style>
  <w:style w:type="paragraph" w:styleId="Testonotadichiusura">
    <w:name w:val="endnote text"/>
    <w:basedOn w:val="Normale"/>
    <w:link w:val="TestonotadichiusuraCarattere"/>
    <w:uiPriority w:val="99"/>
    <w:semiHidden/>
    <w:unhideWhenUsed/>
    <w:rsid w:val="00501C81"/>
    <w:rPr>
      <w:sz w:val="20"/>
      <w:szCs w:val="20"/>
    </w:rPr>
  </w:style>
  <w:style w:type="character" w:customStyle="1" w:styleId="TestonotadichiusuraCarattere">
    <w:name w:val="Testo nota di chiusura Carattere"/>
    <w:basedOn w:val="Carpredefinitoparagrafo"/>
    <w:link w:val="Testonotadichiusura"/>
    <w:uiPriority w:val="99"/>
    <w:semiHidden/>
    <w:rsid w:val="00501C81"/>
    <w:rPr>
      <w:rFonts w:eastAsiaTheme="minorHAnsi"/>
      <w:sz w:val="20"/>
      <w:szCs w:val="20"/>
      <w:lang w:eastAsia="en-US"/>
    </w:rPr>
  </w:style>
  <w:style w:type="paragraph" w:customStyle="1" w:styleId="Default">
    <w:name w:val="Default"/>
    <w:rsid w:val="00BE4297"/>
    <w:pPr>
      <w:autoSpaceDE w:val="0"/>
      <w:autoSpaceDN w:val="0"/>
      <w:adjustRightInd w:val="0"/>
    </w:pPr>
    <w:rPr>
      <w:rFonts w:ascii="Calibri" w:eastAsia="Times New Roman" w:hAnsi="Calibri" w:cs="Calibri"/>
      <w:color w:val="000000"/>
    </w:rPr>
  </w:style>
  <w:style w:type="paragraph" w:styleId="Soggettocommento">
    <w:name w:val="annotation subject"/>
    <w:basedOn w:val="Testocommento"/>
    <w:next w:val="Testocommento"/>
    <w:link w:val="SoggettocommentoCarattere"/>
    <w:uiPriority w:val="99"/>
    <w:semiHidden/>
    <w:unhideWhenUsed/>
    <w:rsid w:val="00794F8D"/>
    <w:pPr>
      <w:spacing w:after="0"/>
    </w:pPr>
    <w:rPr>
      <w:b/>
      <w:bCs/>
      <w14:ligatures w14:val="none"/>
    </w:rPr>
  </w:style>
  <w:style w:type="character" w:customStyle="1" w:styleId="SoggettocommentoCarattere">
    <w:name w:val="Soggetto commento Carattere"/>
    <w:basedOn w:val="TestocommentoCarattere"/>
    <w:link w:val="Soggettocommento"/>
    <w:uiPriority w:val="99"/>
    <w:semiHidden/>
    <w:rsid w:val="00794F8D"/>
    <w:rPr>
      <w:rFonts w:eastAsiaTheme="minorHAnsi"/>
      <w:b/>
      <w:bCs/>
      <w:sz w:val="20"/>
      <w:szCs w:val="20"/>
      <w:lang w:eastAsia="en-US"/>
      <w14:ligatures w14:val="standardContextual"/>
    </w:rPr>
  </w:style>
  <w:style w:type="paragraph" w:styleId="Revisione">
    <w:name w:val="Revision"/>
    <w:hidden/>
    <w:uiPriority w:val="99"/>
    <w:semiHidden/>
    <w:rsid w:val="006A2146"/>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932971">
      <w:bodyDiv w:val="1"/>
      <w:marLeft w:val="0"/>
      <w:marRight w:val="0"/>
      <w:marTop w:val="0"/>
      <w:marBottom w:val="0"/>
      <w:divBdr>
        <w:top w:val="none" w:sz="0" w:space="0" w:color="auto"/>
        <w:left w:val="none" w:sz="0" w:space="0" w:color="auto"/>
        <w:bottom w:val="none" w:sz="0" w:space="0" w:color="auto"/>
        <w:right w:val="none" w:sz="0" w:space="0" w:color="auto"/>
      </w:divBdr>
    </w:div>
    <w:div w:id="386800461">
      <w:bodyDiv w:val="1"/>
      <w:marLeft w:val="0"/>
      <w:marRight w:val="0"/>
      <w:marTop w:val="0"/>
      <w:marBottom w:val="0"/>
      <w:divBdr>
        <w:top w:val="none" w:sz="0" w:space="0" w:color="auto"/>
        <w:left w:val="none" w:sz="0" w:space="0" w:color="auto"/>
        <w:bottom w:val="none" w:sz="0" w:space="0" w:color="auto"/>
        <w:right w:val="none" w:sz="0" w:space="0" w:color="auto"/>
      </w:divBdr>
    </w:div>
    <w:div w:id="746879842">
      <w:bodyDiv w:val="1"/>
      <w:marLeft w:val="0"/>
      <w:marRight w:val="0"/>
      <w:marTop w:val="0"/>
      <w:marBottom w:val="0"/>
      <w:divBdr>
        <w:top w:val="none" w:sz="0" w:space="0" w:color="auto"/>
        <w:left w:val="none" w:sz="0" w:space="0" w:color="auto"/>
        <w:bottom w:val="none" w:sz="0" w:space="0" w:color="auto"/>
        <w:right w:val="none" w:sz="0" w:space="0" w:color="auto"/>
      </w:divBdr>
    </w:div>
    <w:div w:id="1892038503">
      <w:bodyDiv w:val="1"/>
      <w:marLeft w:val="0"/>
      <w:marRight w:val="0"/>
      <w:marTop w:val="0"/>
      <w:marBottom w:val="0"/>
      <w:divBdr>
        <w:top w:val="none" w:sz="0" w:space="0" w:color="auto"/>
        <w:left w:val="none" w:sz="0" w:space="0" w:color="auto"/>
        <w:bottom w:val="none" w:sz="0" w:space="0" w:color="auto"/>
        <w:right w:val="none" w:sz="0" w:space="0" w:color="auto"/>
      </w:divBdr>
    </w:div>
    <w:div w:id="19051394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8e0b071-25ec-4b63-a89d-2a366cb0258d" xsi:nil="true"/>
    <lcf76f155ced4ddcb4097134ff3c332f xmlns="deb23588-a261-4b88-80f0-4c416ed6370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20446E589D4847A5302D3C0AC47A6C" ma:contentTypeVersion="12" ma:contentTypeDescription="Create a new document." ma:contentTypeScope="" ma:versionID="385181f8f17e8557178d331b3cfea72b">
  <xsd:schema xmlns:xsd="http://www.w3.org/2001/XMLSchema" xmlns:xs="http://www.w3.org/2001/XMLSchema" xmlns:p="http://schemas.microsoft.com/office/2006/metadata/properties" xmlns:ns2="deb23588-a261-4b88-80f0-4c416ed63704" xmlns:ns3="b8e0b071-25ec-4b63-a89d-2a366cb0258d" targetNamespace="http://schemas.microsoft.com/office/2006/metadata/properties" ma:root="true" ma:fieldsID="c4d32b8696d2b10ac3a5267a0e4dd846" ns2:_="" ns3:_="">
    <xsd:import namespace="deb23588-a261-4b88-80f0-4c416ed63704"/>
    <xsd:import namespace="b8e0b071-25ec-4b63-a89d-2a366cb025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23588-a261-4b88-80f0-4c416ed637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195dc1-fe89-472b-8717-1a064048821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e0b071-25ec-4b63-a89d-2a366cb025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77fe56-1ac8-46da-b5c2-9eeef7b750a3}" ma:internalName="TaxCatchAll" ma:showField="CatchAllData" ma:web="b8e0b071-25ec-4b63-a89d-2a366cb025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498A7-3378-4D2C-B651-34616F165E2D}">
  <ds:schemaRefs>
    <ds:schemaRef ds:uri="http://schemas.microsoft.com/sharepoint/v3/contenttype/forms"/>
  </ds:schemaRefs>
</ds:datastoreItem>
</file>

<file path=customXml/itemProps2.xml><?xml version="1.0" encoding="utf-8"?>
<ds:datastoreItem xmlns:ds="http://schemas.openxmlformats.org/officeDocument/2006/customXml" ds:itemID="{3AC2A42E-AE12-4F16-80EA-892D9A194019}">
  <ds:schemaRefs>
    <ds:schemaRef ds:uri="http://schemas.microsoft.com/office/2006/metadata/properties"/>
    <ds:schemaRef ds:uri="http://schemas.microsoft.com/office/infopath/2007/PartnerControls"/>
    <ds:schemaRef ds:uri="b8e0b071-25ec-4b63-a89d-2a366cb0258d"/>
    <ds:schemaRef ds:uri="deb23588-a261-4b88-80f0-4c416ed63704"/>
  </ds:schemaRefs>
</ds:datastoreItem>
</file>

<file path=customXml/itemProps3.xml><?xml version="1.0" encoding="utf-8"?>
<ds:datastoreItem xmlns:ds="http://schemas.openxmlformats.org/officeDocument/2006/customXml" ds:itemID="{42E68A5A-A1BB-4741-896E-4F7CA0E72B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23588-a261-4b88-80f0-4c416ed63704"/>
    <ds:schemaRef ds:uri="b8e0b071-25ec-4b63-a89d-2a366cb025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89B283-4D6A-41D0-9A1F-5A091271A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1090</Words>
  <Characters>6217</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dc:creator>
  <cp:keywords/>
  <dc:description/>
  <cp:lastModifiedBy>SALVATORE DE SIMONE</cp:lastModifiedBy>
  <cp:revision>7</cp:revision>
  <cp:lastPrinted>2023-10-26T00:18:00Z</cp:lastPrinted>
  <dcterms:created xsi:type="dcterms:W3CDTF">2025-10-13T13:12:00Z</dcterms:created>
  <dcterms:modified xsi:type="dcterms:W3CDTF">2025-10-15T13:14:00Z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2024-05-30T10:45:14Z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f4ba8bf1-e96b-47dc-8e8e-331f26549002</vt:lpwstr>
  </property>
  <property fmtid="{D5CDD505-2E9C-101B-9397-08002B2CF9AE}" pid="8" name="MSIP_Label_2ad0b24d-6422-44b0-b3de-abb3a9e8c81a_ContentBits">
    <vt:lpwstr>0</vt:lpwstr>
  </property>
  <property fmtid="{D5CDD505-2E9C-101B-9397-08002B2CF9AE}" pid="9" name="ContentTypeId">
    <vt:lpwstr>0x010100D420446E589D4847A5302D3C0AC47A6C</vt:lpwstr>
  </property>
  <property fmtid="{D5CDD505-2E9C-101B-9397-08002B2CF9AE}" pid="10" name="MediaServiceImageTags">
    <vt:lpwstr/>
  </property>
</Properties>
</file>