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ECB5" w14:textId="46EA294F" w:rsidR="00BE4297" w:rsidRPr="00CC5FFA" w:rsidRDefault="00BE4297" w:rsidP="001337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CCECFF"/>
        <w:tabs>
          <w:tab w:val="left" w:pos="3720"/>
          <w:tab w:val="right" w:pos="10205"/>
        </w:tabs>
        <w:suppressAutoHyphens/>
        <w:jc w:val="center"/>
        <w:rPr>
          <w:rFonts w:ascii="Titillium Web" w:eastAsia="Times New Roman" w:hAnsi="Titillium Web" w:cs="Times New Roman"/>
          <w:b/>
          <w:bCs/>
          <w:iCs/>
          <w:sz w:val="22"/>
          <w:szCs w:val="22"/>
          <w:lang w:eastAsia="ar-SA"/>
        </w:rPr>
      </w:pPr>
      <w:r w:rsidRPr="00CC5FFA">
        <w:rPr>
          <w:rFonts w:ascii="Titillium Web" w:eastAsia="Times New Roman" w:hAnsi="Titillium Web" w:cs="Times New Roman"/>
          <w:b/>
          <w:bCs/>
          <w:iCs/>
          <w:sz w:val="22"/>
          <w:szCs w:val="22"/>
          <w:lang w:eastAsia="ar-SA"/>
        </w:rPr>
        <w:t>ATTO DI IMPEGNO</w:t>
      </w:r>
    </w:p>
    <w:p w14:paraId="081E601A" w14:textId="6C9E7C45" w:rsidR="00E40B68" w:rsidRPr="00CC5FFA" w:rsidRDefault="00E40B68" w:rsidP="001337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CCECFF"/>
        <w:tabs>
          <w:tab w:val="left" w:pos="3720"/>
          <w:tab w:val="right" w:pos="10205"/>
        </w:tabs>
        <w:suppressAutoHyphens/>
        <w:jc w:val="both"/>
        <w:rPr>
          <w:rFonts w:ascii="Titillium Web" w:eastAsiaTheme="minorEastAsia" w:hAnsi="Titillium Web" w:cs="Titillium Web"/>
          <w:b/>
          <w:bCs/>
          <w:color w:val="000000"/>
          <w:sz w:val="22"/>
          <w:szCs w:val="22"/>
          <w:lang w:val="x-none" w:eastAsia="it-IT"/>
        </w:rPr>
      </w:pPr>
      <w:r w:rsidRPr="00CC5FFA">
        <w:rPr>
          <w:rFonts w:ascii="Titillium Web" w:eastAsiaTheme="minorEastAsia" w:hAnsi="Titillium Web" w:cs="Titillium Web"/>
          <w:b/>
          <w:bCs/>
          <w:color w:val="000000"/>
          <w:sz w:val="22"/>
          <w:szCs w:val="22"/>
          <w:lang w:val="x-none" w:eastAsia="it-IT"/>
        </w:rPr>
        <w:t xml:space="preserve">PROCEDURA APERTA CON APPLICAZIONE DEL CRITERIO DELL’OFFERTA ECONOMICAMENTE PIÙ VANTAGGIOSA INDIVIDUATA SULLA BASE DEL MIGLIOR RAPPORTO QUALITÀ PREZZO, AI SENSI DEGLI ARTT. </w:t>
      </w:r>
      <w:r w:rsidRPr="00CC5FFA">
        <w:rPr>
          <w:rFonts w:ascii="Titillium Web" w:eastAsiaTheme="minorEastAsia" w:hAnsi="Titillium Web" w:cs="Titillium Web"/>
          <w:b/>
          <w:bCs/>
          <w:color w:val="000000"/>
          <w:sz w:val="22"/>
          <w:szCs w:val="22"/>
          <w:lang w:eastAsia="it-IT"/>
        </w:rPr>
        <w:t>71 E 108 COMMA 1</w:t>
      </w:r>
      <w:r w:rsidRPr="00CC5FFA">
        <w:rPr>
          <w:rFonts w:ascii="Titillium Web" w:eastAsiaTheme="minorEastAsia" w:hAnsi="Titillium Web" w:cs="Titillium Web"/>
          <w:b/>
          <w:bCs/>
          <w:color w:val="000000"/>
          <w:sz w:val="22"/>
          <w:szCs w:val="22"/>
          <w:lang w:val="x-none" w:eastAsia="it-IT"/>
        </w:rPr>
        <w:t xml:space="preserve"> </w:t>
      </w:r>
      <w:r w:rsidRPr="00CC5FFA">
        <w:rPr>
          <w:rFonts w:ascii="Titillium Web" w:eastAsiaTheme="minorEastAsia" w:hAnsi="Titillium Web" w:cs="Titillium Web"/>
          <w:b/>
          <w:bCs/>
          <w:color w:val="000000"/>
          <w:sz w:val="22"/>
          <w:szCs w:val="22"/>
          <w:lang w:eastAsia="it-IT"/>
        </w:rPr>
        <w:t xml:space="preserve">DEL D.LGS. N. 36/2023 </w:t>
      </w:r>
      <w:r w:rsidRPr="00CC5FFA">
        <w:rPr>
          <w:rFonts w:ascii="Titillium Web" w:eastAsiaTheme="minorEastAsia" w:hAnsi="Titillium Web" w:cs="Titillium Web"/>
          <w:b/>
          <w:bCs/>
          <w:color w:val="000000"/>
          <w:sz w:val="22"/>
          <w:szCs w:val="22"/>
          <w:lang w:val="x-none" w:eastAsia="it-IT"/>
        </w:rPr>
        <w:t>S.M.I. AVENTE AD OGGETTO L</w:t>
      </w:r>
      <w:r w:rsidRPr="00CC5FFA">
        <w:rPr>
          <w:rFonts w:ascii="Titillium Web" w:eastAsiaTheme="minorEastAsia" w:hAnsi="Titillium Web" w:cs="Titillium Web"/>
          <w:b/>
          <w:bCs/>
          <w:color w:val="000000"/>
          <w:sz w:val="22"/>
          <w:szCs w:val="22"/>
          <w:lang w:eastAsia="it-IT"/>
        </w:rPr>
        <w:t xml:space="preserve">’ACQUISTO </w:t>
      </w:r>
      <w:bookmarkStart w:id="0" w:name="_Hlk208993497"/>
      <w:r w:rsidR="008B575D" w:rsidRPr="00CC5FFA">
        <w:rPr>
          <w:rFonts w:ascii="Titillium Web" w:eastAsiaTheme="minorEastAsia" w:hAnsi="Titillium Web" w:cs="Titillium Web"/>
          <w:b/>
          <w:bCs/>
          <w:color w:val="000000"/>
          <w:sz w:val="22"/>
          <w:szCs w:val="22"/>
          <w:lang w:val="x-none" w:eastAsia="it-IT"/>
        </w:rPr>
        <w:t xml:space="preserve">DI UN </w:t>
      </w:r>
      <w:r w:rsidR="00CB2DA5" w:rsidRPr="00CC5FFA">
        <w:rPr>
          <w:rFonts w:ascii="Titillium Web" w:hAnsi="Titillium Web" w:cs="Calibri"/>
          <w:b/>
          <w:bCs/>
          <w:i/>
          <w:iCs/>
          <w:sz w:val="22"/>
          <w:szCs w:val="22"/>
        </w:rPr>
        <w:t>“</w:t>
      </w:r>
      <w:r w:rsidR="008B575D" w:rsidRPr="00CC5FFA">
        <w:rPr>
          <w:rFonts w:ascii="Titillium Web" w:hAnsi="Titillium Web" w:cs="Calibri"/>
          <w:b/>
          <w:bCs/>
          <w:i/>
          <w:iCs/>
          <w:sz w:val="22"/>
          <w:szCs w:val="22"/>
        </w:rPr>
        <w:t>MICRODISSECTION MICROSCOPY – CON FLUORESCENZA</w:t>
      </w:r>
      <w:bookmarkEnd w:id="0"/>
      <w:r w:rsidR="00264EE8" w:rsidRPr="00CC5FFA">
        <w:rPr>
          <w:rFonts w:ascii="Titillium Web" w:hAnsi="Titillium Web" w:cs="Calibri"/>
          <w:b/>
          <w:bCs/>
          <w:i/>
          <w:iCs/>
          <w:sz w:val="22"/>
          <w:szCs w:val="22"/>
        </w:rPr>
        <w:t>”</w:t>
      </w:r>
    </w:p>
    <w:p w14:paraId="1EBAF512" w14:textId="77777777" w:rsidR="00BE4297" w:rsidRPr="00CC5FFA" w:rsidRDefault="00BE4297" w:rsidP="00133756">
      <w:pPr>
        <w:tabs>
          <w:tab w:val="left" w:pos="9070"/>
        </w:tabs>
        <w:jc w:val="both"/>
        <w:rPr>
          <w:rFonts w:ascii="Titillium Web" w:hAnsi="Titillium Web" w:cs="Tahoma"/>
          <w:sz w:val="22"/>
          <w:szCs w:val="22"/>
        </w:rPr>
      </w:pPr>
    </w:p>
    <w:p w14:paraId="6BF59011" w14:textId="0DBA454B" w:rsidR="00BE4720" w:rsidRPr="00CC5FFA" w:rsidRDefault="00BE4297" w:rsidP="00133756">
      <w:pPr>
        <w:tabs>
          <w:tab w:val="left" w:pos="9070"/>
        </w:tabs>
        <w:ind w:left="-142"/>
        <w:jc w:val="both"/>
        <w:rPr>
          <w:rFonts w:ascii="Titillium Web" w:hAnsi="Titillium Web" w:cs="Tahoma"/>
          <w:sz w:val="22"/>
          <w:szCs w:val="22"/>
        </w:rPr>
      </w:pPr>
      <w:r w:rsidRPr="00CC5FFA">
        <w:rPr>
          <w:rFonts w:ascii="Titillium Web" w:hAnsi="Titillium Web" w:cs="Tahoma"/>
          <w:sz w:val="22"/>
          <w:szCs w:val="22"/>
        </w:rPr>
        <w:t>Il sottoscritto ____________________________,</w:t>
      </w:r>
      <w:r w:rsidR="00C83754" w:rsidRPr="00CC5FFA">
        <w:rPr>
          <w:rFonts w:ascii="Titillium Web" w:hAnsi="Titillium Web" w:cs="Tahoma"/>
          <w:sz w:val="22"/>
          <w:szCs w:val="22"/>
        </w:rPr>
        <w:t xml:space="preserve"> </w:t>
      </w:r>
      <w:r w:rsidRPr="00CC5FFA">
        <w:rPr>
          <w:rFonts w:ascii="Titillium Web" w:hAnsi="Titillium Web" w:cs="Tahoma"/>
          <w:sz w:val="22"/>
          <w:szCs w:val="22"/>
        </w:rPr>
        <w:t>Codice Fiscale ___________</w:t>
      </w:r>
      <w:r w:rsidR="00C83754" w:rsidRPr="00CC5FFA">
        <w:rPr>
          <w:rFonts w:ascii="Titillium Web" w:hAnsi="Titillium Web" w:cs="Tahoma"/>
          <w:sz w:val="22"/>
          <w:szCs w:val="22"/>
        </w:rPr>
        <w:t>_______</w:t>
      </w:r>
      <w:r w:rsidRPr="00CC5FFA">
        <w:rPr>
          <w:rFonts w:ascii="Titillium Web" w:hAnsi="Titillium Web" w:cs="Tahoma"/>
          <w:sz w:val="22"/>
          <w:szCs w:val="22"/>
        </w:rPr>
        <w:t xml:space="preserve">__, </w:t>
      </w:r>
    </w:p>
    <w:p w14:paraId="694F4C8B" w14:textId="44768039" w:rsidR="00BE4720" w:rsidRPr="00CC5FFA" w:rsidRDefault="00BE4297" w:rsidP="00133756">
      <w:pPr>
        <w:tabs>
          <w:tab w:val="left" w:pos="9070"/>
        </w:tabs>
        <w:ind w:left="-142"/>
        <w:jc w:val="both"/>
        <w:rPr>
          <w:rFonts w:ascii="Titillium Web" w:hAnsi="Titillium Web" w:cs="Tahoma"/>
          <w:sz w:val="22"/>
          <w:szCs w:val="22"/>
        </w:rPr>
      </w:pPr>
      <w:r w:rsidRPr="00CC5FFA">
        <w:rPr>
          <w:rFonts w:ascii="Titillium Web" w:hAnsi="Titillium Web" w:cs="Tahoma"/>
          <w:sz w:val="22"/>
          <w:szCs w:val="22"/>
        </w:rPr>
        <w:t>in rappresentanza dell’operatore economico (denominazione e forma giuridica) ____________</w:t>
      </w:r>
      <w:r w:rsidR="00C83754" w:rsidRPr="00CC5FFA">
        <w:rPr>
          <w:rFonts w:ascii="Titillium Web" w:hAnsi="Titillium Web" w:cs="Tahoma"/>
          <w:sz w:val="22"/>
          <w:szCs w:val="22"/>
        </w:rPr>
        <w:t>____</w:t>
      </w:r>
    </w:p>
    <w:p w14:paraId="6A1A4A1D" w14:textId="3F01DB8D" w:rsidR="00C83754" w:rsidRPr="00CC5FFA" w:rsidRDefault="00C83754" w:rsidP="00133756">
      <w:pPr>
        <w:tabs>
          <w:tab w:val="left" w:pos="9070"/>
        </w:tabs>
        <w:ind w:left="-142"/>
        <w:jc w:val="both"/>
        <w:rPr>
          <w:rFonts w:ascii="Titillium Web" w:hAnsi="Titillium Web" w:cs="Tahoma"/>
          <w:sz w:val="22"/>
          <w:szCs w:val="22"/>
        </w:rPr>
      </w:pPr>
      <w:r w:rsidRPr="00CC5FFA">
        <w:rPr>
          <w:rFonts w:ascii="Titillium Web" w:hAnsi="Titillium Web" w:cs="Tahoma"/>
          <w:sz w:val="22"/>
          <w:szCs w:val="22"/>
        </w:rPr>
        <w:t>____________________________________________________________________</w:t>
      </w:r>
    </w:p>
    <w:p w14:paraId="1C00487D" w14:textId="74A308C1" w:rsidR="00BE4297" w:rsidRPr="00CC5FFA" w:rsidRDefault="00BE4297" w:rsidP="00133756">
      <w:pPr>
        <w:tabs>
          <w:tab w:val="left" w:pos="9070"/>
        </w:tabs>
        <w:ind w:left="-142"/>
        <w:jc w:val="both"/>
        <w:rPr>
          <w:rFonts w:ascii="Titillium Web" w:hAnsi="Titillium Web" w:cs="Tahoma"/>
          <w:sz w:val="22"/>
          <w:szCs w:val="22"/>
        </w:rPr>
      </w:pPr>
      <w:r w:rsidRPr="00CC5FFA">
        <w:rPr>
          <w:rFonts w:ascii="Titillium Web" w:hAnsi="Titillium Web" w:cs="Tahoma"/>
          <w:sz w:val="22"/>
          <w:szCs w:val="22"/>
        </w:rPr>
        <w:t xml:space="preserve">(di seguito “Concorrente”) partecipante alla </w:t>
      </w:r>
      <w:r w:rsidR="006F29BE" w:rsidRPr="00CC5FFA">
        <w:rPr>
          <w:rFonts w:ascii="Titillium Web" w:hAnsi="Titillium Web" w:cs="Tahoma"/>
          <w:sz w:val="22"/>
          <w:szCs w:val="22"/>
        </w:rPr>
        <w:t xml:space="preserve">Procedura </w:t>
      </w:r>
      <w:r w:rsidR="00CF29C4" w:rsidRPr="00CC5FFA">
        <w:rPr>
          <w:rFonts w:ascii="Titillium Web" w:hAnsi="Titillium Web" w:cs="Tahoma"/>
          <w:sz w:val="22"/>
          <w:szCs w:val="22"/>
        </w:rPr>
        <w:t>di gara</w:t>
      </w:r>
      <w:r w:rsidR="00BE4720" w:rsidRPr="00CC5FFA">
        <w:rPr>
          <w:rFonts w:ascii="Titillium Web" w:hAnsi="Titillium Web" w:cs="Tahoma"/>
          <w:sz w:val="22"/>
          <w:szCs w:val="22"/>
        </w:rPr>
        <w:t xml:space="preserve"> </w:t>
      </w:r>
      <w:r w:rsidR="0012597F" w:rsidRPr="00CC5FFA">
        <w:rPr>
          <w:rFonts w:ascii="Titillium Web" w:eastAsiaTheme="minorEastAsia" w:hAnsi="Titillium Web" w:cs="Titillium Web"/>
          <w:color w:val="000000"/>
          <w:sz w:val="22"/>
          <w:szCs w:val="22"/>
          <w:lang w:eastAsia="it-IT"/>
        </w:rPr>
        <w:t>degli artt. 71</w:t>
      </w:r>
      <w:r w:rsidR="0012597F" w:rsidRPr="00CC5FFA">
        <w:rPr>
          <w:rFonts w:ascii="Titillium Web" w:eastAsia="Calibri" w:hAnsi="Titillium Web" w:cs="Calibri"/>
          <w:sz w:val="22"/>
          <w:szCs w:val="22"/>
          <w:lang w:eastAsia="x-none"/>
        </w:rPr>
        <w:t xml:space="preserve"> e 108 comma 1</w:t>
      </w:r>
      <w:r w:rsidR="0012597F" w:rsidRPr="00CC5FFA">
        <w:rPr>
          <w:rFonts w:ascii="Titillium Web" w:eastAsia="Calibri" w:hAnsi="Titillium Web" w:cs="Calibri"/>
          <w:sz w:val="22"/>
          <w:szCs w:val="22"/>
          <w:lang w:val="x-none" w:eastAsia="x-none"/>
        </w:rPr>
        <w:t xml:space="preserve"> </w:t>
      </w:r>
      <w:r w:rsidR="0012597F" w:rsidRPr="00CC5FFA">
        <w:rPr>
          <w:rFonts w:ascii="Titillium Web" w:eastAsia="Calibri" w:hAnsi="Titillium Web" w:cs="Calibri"/>
          <w:sz w:val="22"/>
          <w:szCs w:val="22"/>
          <w:lang w:eastAsia="x-none"/>
        </w:rPr>
        <w:t xml:space="preserve">del D.LGS. N. 36/2023 </w:t>
      </w:r>
      <w:proofErr w:type="spellStart"/>
      <w:r w:rsidR="008B575D" w:rsidRPr="00CC5FFA">
        <w:rPr>
          <w:rFonts w:ascii="Titillium Web" w:eastAsia="Calibri" w:hAnsi="Titillium Web" w:cs="Calibri"/>
          <w:sz w:val="22"/>
          <w:szCs w:val="22"/>
          <w:lang w:val="x-none" w:eastAsia="x-none"/>
        </w:rPr>
        <w:t>s.m.i.</w:t>
      </w:r>
      <w:proofErr w:type="spellEnd"/>
      <w:r w:rsidR="008B575D" w:rsidRPr="00CC5FFA">
        <w:rPr>
          <w:rFonts w:ascii="Titillium Web" w:eastAsia="Calibri" w:hAnsi="Titillium Web" w:cs="Calibri"/>
          <w:sz w:val="22"/>
          <w:szCs w:val="22"/>
          <w:lang w:val="x-none" w:eastAsia="x-none"/>
        </w:rPr>
        <w:t xml:space="preserve"> </w:t>
      </w:r>
      <w:r w:rsidR="00BE4720" w:rsidRPr="00CC5FFA">
        <w:rPr>
          <w:rFonts w:ascii="Titillium Web" w:hAnsi="Titillium Web" w:cs="Tahoma"/>
          <w:sz w:val="22"/>
          <w:szCs w:val="22"/>
        </w:rPr>
        <w:t xml:space="preserve">relativo </w:t>
      </w:r>
      <w:r w:rsidR="00CF29C4" w:rsidRPr="00CC5FFA">
        <w:rPr>
          <w:rFonts w:ascii="Titillium Web" w:hAnsi="Titillium Web" w:cs="Tahoma"/>
          <w:sz w:val="22"/>
          <w:szCs w:val="22"/>
        </w:rPr>
        <w:t>all’acquisto</w:t>
      </w:r>
      <w:r w:rsidR="00BE4720" w:rsidRPr="00CC5FFA">
        <w:rPr>
          <w:rFonts w:ascii="Titillium Web" w:hAnsi="Titillium Web" w:cs="Tahoma"/>
          <w:sz w:val="22"/>
          <w:szCs w:val="22"/>
        </w:rPr>
        <w:t xml:space="preserve"> </w:t>
      </w:r>
      <w:r w:rsidR="008B575D" w:rsidRPr="00CC5FFA">
        <w:rPr>
          <w:rFonts w:ascii="Titillium Web" w:hAnsi="Titillium Web"/>
          <w:sz w:val="22"/>
          <w:szCs w:val="22"/>
        </w:rPr>
        <w:t>un “</w:t>
      </w:r>
      <w:proofErr w:type="spellStart"/>
      <w:r w:rsidR="008B575D" w:rsidRPr="00CC5FFA">
        <w:rPr>
          <w:rFonts w:ascii="Titillium Web" w:hAnsi="Titillium Web"/>
          <w:i/>
          <w:iCs/>
          <w:sz w:val="22"/>
          <w:szCs w:val="22"/>
        </w:rPr>
        <w:t>Microdissection</w:t>
      </w:r>
      <w:proofErr w:type="spellEnd"/>
      <w:r w:rsidR="008B575D" w:rsidRPr="00CC5FFA">
        <w:rPr>
          <w:rFonts w:ascii="Titillium Web" w:hAnsi="Titillium Web"/>
          <w:i/>
          <w:iCs/>
          <w:sz w:val="22"/>
          <w:szCs w:val="22"/>
        </w:rPr>
        <w:t xml:space="preserve"> </w:t>
      </w:r>
      <w:proofErr w:type="spellStart"/>
      <w:r w:rsidR="008B575D" w:rsidRPr="00CC5FFA">
        <w:rPr>
          <w:rFonts w:ascii="Titillium Web" w:hAnsi="Titillium Web"/>
          <w:i/>
          <w:iCs/>
          <w:sz w:val="22"/>
          <w:szCs w:val="22"/>
        </w:rPr>
        <w:t>microscopy</w:t>
      </w:r>
      <w:proofErr w:type="spellEnd"/>
      <w:r w:rsidR="008B575D" w:rsidRPr="00CC5FFA">
        <w:rPr>
          <w:rFonts w:ascii="Titillium Web" w:hAnsi="Titillium Web"/>
          <w:i/>
          <w:iCs/>
          <w:sz w:val="22"/>
          <w:szCs w:val="22"/>
        </w:rPr>
        <w:t xml:space="preserve"> - con fluorescenza</w:t>
      </w:r>
      <w:r w:rsidR="008B575D" w:rsidRPr="00CC5FFA">
        <w:rPr>
          <w:rFonts w:ascii="Titillium Web" w:hAnsi="Titillium Web"/>
          <w:sz w:val="22"/>
          <w:szCs w:val="22"/>
        </w:rPr>
        <w:t xml:space="preserve">” </w:t>
      </w:r>
      <w:r w:rsidR="008B575D" w:rsidRPr="00CC5FFA">
        <w:rPr>
          <w:rFonts w:ascii="Titillium Web" w:hAnsi="Titillium Web"/>
          <w:iCs/>
          <w:sz w:val="22"/>
          <w:szCs w:val="22"/>
        </w:rPr>
        <w:t xml:space="preserve">presso la Scuola di Medicina e Chirurgia dell’Università degli Studi Di Napoli Federico II </w:t>
      </w:r>
    </w:p>
    <w:p w14:paraId="639A980E" w14:textId="77777777" w:rsidR="00C83754" w:rsidRPr="00CC5FFA" w:rsidRDefault="00C83754" w:rsidP="00133756">
      <w:pPr>
        <w:tabs>
          <w:tab w:val="left" w:pos="9070"/>
        </w:tabs>
        <w:ind w:left="-142"/>
        <w:jc w:val="both"/>
        <w:rPr>
          <w:rFonts w:ascii="Titillium Web" w:hAnsi="Titillium Web" w:cs="Tahoma"/>
          <w:sz w:val="22"/>
          <w:szCs w:val="22"/>
        </w:rPr>
      </w:pPr>
    </w:p>
    <w:p w14:paraId="6DADD944" w14:textId="026BFA2B" w:rsidR="00264EE8" w:rsidRPr="00CC5FFA" w:rsidRDefault="00BE4297" w:rsidP="00264EE8">
      <w:pPr>
        <w:tabs>
          <w:tab w:val="left" w:pos="9070"/>
        </w:tabs>
        <w:ind w:left="-142"/>
        <w:jc w:val="both"/>
        <w:rPr>
          <w:rFonts w:ascii="Titillium Web" w:hAnsi="Titillium Web" w:cs="Tahoma"/>
          <w:sz w:val="22"/>
          <w:szCs w:val="22"/>
        </w:rPr>
      </w:pPr>
      <w:r w:rsidRPr="00CC5FFA">
        <w:rPr>
          <w:rFonts w:ascii="Titillium Web" w:hAnsi="Titillium Web" w:cs="Tahoma"/>
          <w:sz w:val="22"/>
          <w:szCs w:val="22"/>
        </w:rPr>
        <w:t>Considerato:</w:t>
      </w:r>
    </w:p>
    <w:p w14:paraId="3D3C51C4" w14:textId="4106EB6F" w:rsidR="00264EE8" w:rsidRPr="00CC5FFA" w:rsidRDefault="00264EE8" w:rsidP="00264EE8">
      <w:pPr>
        <w:pStyle w:val="Paragrafoelenco"/>
        <w:numPr>
          <w:ilvl w:val="0"/>
          <w:numId w:val="29"/>
        </w:numPr>
        <w:ind w:right="281"/>
        <w:jc w:val="both"/>
        <w:rPr>
          <w:rFonts w:ascii="Titillium Web" w:hAnsi="Titillium Web" w:cs="Calibri"/>
          <w:bCs/>
          <w:sz w:val="22"/>
          <w:szCs w:val="22"/>
        </w:rPr>
      </w:pPr>
      <w:bookmarkStart w:id="1" w:name="_Hlk210310755"/>
      <w:r w:rsidRPr="00CC5FFA">
        <w:rPr>
          <w:rFonts w:ascii="Titillium Web" w:hAnsi="Titillium Web" w:cs="Calibri"/>
          <w:bCs/>
          <w:sz w:val="22"/>
          <w:szCs w:val="22"/>
        </w:rPr>
        <w:t xml:space="preserve">L’ Avviso n. 931 del 06/06/2022 del Ministero dell’Università e della Ricerca (MUR), per la concessione di finanziamenti destinati ad iniziative di ricerca per tecnologie e percorsi innovativi in ambito sanitario ed assistenziale, nell’ambito del Piano Nazionale gli investimenti Complementari al PNRR (PNC); </w:t>
      </w:r>
    </w:p>
    <w:p w14:paraId="47F7F172" w14:textId="1D384D16" w:rsidR="00264EE8" w:rsidRPr="00CC5FFA" w:rsidRDefault="00264EE8" w:rsidP="00264EE8">
      <w:pPr>
        <w:pStyle w:val="Paragrafoelenco"/>
        <w:numPr>
          <w:ilvl w:val="0"/>
          <w:numId w:val="29"/>
        </w:numPr>
        <w:ind w:right="281"/>
        <w:jc w:val="both"/>
        <w:rPr>
          <w:rFonts w:ascii="Titillium Web" w:hAnsi="Titillium Web" w:cs="Calibri"/>
          <w:bCs/>
          <w:sz w:val="22"/>
          <w:szCs w:val="22"/>
        </w:rPr>
      </w:pPr>
      <w:r w:rsidRPr="00CC5FFA">
        <w:rPr>
          <w:rFonts w:ascii="Titillium Web" w:hAnsi="Titillium Web" w:cs="Calibri"/>
          <w:bCs/>
          <w:sz w:val="22"/>
          <w:szCs w:val="22"/>
        </w:rPr>
        <w:t xml:space="preserve">Il bando a cascata per le Università e altri Organismi di Ricerca da finanziare nell’ambito del progetto “Digital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Driven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Diagnostics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,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prognostics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and  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therapeutics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for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sustainable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Health care (D3 4 Health)” pubblicato dal Politecnico di Torino in qualità di Spoke 4;</w:t>
      </w:r>
    </w:p>
    <w:p w14:paraId="1840392A" w14:textId="62038A8A" w:rsidR="00264EE8" w:rsidRPr="00CC5FFA" w:rsidRDefault="00264EE8" w:rsidP="00264EE8">
      <w:pPr>
        <w:pStyle w:val="Paragrafoelenco"/>
        <w:numPr>
          <w:ilvl w:val="0"/>
          <w:numId w:val="29"/>
        </w:numPr>
        <w:ind w:right="281"/>
        <w:jc w:val="both"/>
        <w:rPr>
          <w:rFonts w:ascii="Titillium Web" w:hAnsi="Titillium Web" w:cs="Calibri"/>
          <w:bCs/>
          <w:sz w:val="22"/>
          <w:szCs w:val="22"/>
        </w:rPr>
      </w:pPr>
      <w:r w:rsidRPr="00CC5FFA">
        <w:rPr>
          <w:rFonts w:ascii="Titillium Web" w:hAnsi="Titillium Web" w:cs="Calibri"/>
          <w:bCs/>
          <w:sz w:val="22"/>
          <w:szCs w:val="22"/>
        </w:rPr>
        <w:t xml:space="preserve">Il Decreto Direttoriale n. 3134 del 25 ottobre 2024 con il quale il Politecnico di Torino comunica, tra l’altro, la graduatoria definitiva delle proposte progettuali ammesse a finanziamento tra cui il progetto dal </w:t>
      </w:r>
      <w:bookmarkStart w:id="2" w:name="_Hlk209522342"/>
      <w:r w:rsidRPr="00CC5FFA">
        <w:rPr>
          <w:rFonts w:ascii="Titillium Web" w:hAnsi="Titillium Web" w:cs="Calibri"/>
          <w:bCs/>
          <w:sz w:val="22"/>
          <w:szCs w:val="22"/>
        </w:rPr>
        <w:t>titolo “Development of human-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derived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immune &amp;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histo-competent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tissue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on- chip for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advanced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and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predictive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modeling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- </w:t>
      </w:r>
      <w:bookmarkEnd w:id="2"/>
      <w:r w:rsidR="009D0E06" w:rsidRPr="00CC5FFA">
        <w:rPr>
          <w:rFonts w:ascii="Titillium Web" w:hAnsi="Titillium Web" w:cs="Calibri"/>
          <w:bCs/>
          <w:sz w:val="22"/>
          <w:szCs w:val="22"/>
        </w:rPr>
        <w:t>ORION</w:t>
      </w:r>
      <w:r w:rsidRPr="00CC5FFA">
        <w:rPr>
          <w:rFonts w:ascii="Titillium Web" w:hAnsi="Titillium Web" w:cs="Calibri"/>
          <w:bCs/>
          <w:sz w:val="22"/>
          <w:szCs w:val="22"/>
        </w:rPr>
        <w:t>”</w:t>
      </w:r>
    </w:p>
    <w:p w14:paraId="4A9282A0" w14:textId="2145E37F" w:rsidR="00264EE8" w:rsidRPr="00CC5FFA" w:rsidRDefault="00264EE8" w:rsidP="00264EE8">
      <w:pPr>
        <w:pStyle w:val="Paragrafoelenco"/>
        <w:numPr>
          <w:ilvl w:val="0"/>
          <w:numId w:val="29"/>
        </w:numPr>
        <w:ind w:right="281"/>
        <w:jc w:val="both"/>
        <w:rPr>
          <w:rFonts w:ascii="Titillium Web" w:hAnsi="Titillium Web" w:cs="Calibri"/>
          <w:bCs/>
          <w:sz w:val="22"/>
          <w:szCs w:val="22"/>
        </w:rPr>
      </w:pPr>
      <w:r w:rsidRPr="00CC5FFA">
        <w:rPr>
          <w:rFonts w:ascii="Titillium Web" w:hAnsi="Titillium Web" w:cs="Calibri"/>
          <w:bCs/>
          <w:sz w:val="22"/>
          <w:szCs w:val="22"/>
        </w:rPr>
        <w:t>Il</w:t>
      </w:r>
      <w:r w:rsidRPr="00CC5FFA">
        <w:rPr>
          <w:rFonts w:ascii="Titillium Web" w:hAnsi="Titillium Web" w:cs="Calibri"/>
          <w:b/>
          <w:sz w:val="22"/>
          <w:szCs w:val="22"/>
        </w:rPr>
        <w:t xml:space="preserve"> </w:t>
      </w:r>
      <w:r w:rsidRPr="00CC5FFA">
        <w:rPr>
          <w:rFonts w:ascii="Titillium Web" w:hAnsi="Titillium Web" w:cs="Calibri"/>
          <w:bCs/>
          <w:sz w:val="22"/>
          <w:szCs w:val="22"/>
        </w:rPr>
        <w:t>D.R. n. 50</w:t>
      </w:r>
      <w:r w:rsidR="009D0E06" w:rsidRPr="00CC5FFA">
        <w:rPr>
          <w:rFonts w:ascii="Titillium Web" w:hAnsi="Titillium Web" w:cs="Calibri"/>
          <w:bCs/>
          <w:sz w:val="22"/>
          <w:szCs w:val="22"/>
        </w:rPr>
        <w:t>11</w:t>
      </w:r>
      <w:r w:rsidRPr="00CC5FFA">
        <w:rPr>
          <w:rFonts w:ascii="Titillium Web" w:hAnsi="Titillium Web" w:cs="Calibri"/>
          <w:bCs/>
          <w:sz w:val="22"/>
          <w:szCs w:val="22"/>
        </w:rPr>
        <w:t xml:space="preserve">/2024 del 12.11.2024   con cui il Rettore dell’Università degli Studi di Napoli Federico II approva il progetto “Development of human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derived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immune &amp;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histo-competent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tissue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on-chip for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advanced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and  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predictive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</w:t>
      </w:r>
      <w:proofErr w:type="spellStart"/>
      <w:r w:rsidRPr="00CC5FFA">
        <w:rPr>
          <w:rFonts w:ascii="Titillium Web" w:hAnsi="Titillium Web" w:cs="Calibri"/>
          <w:bCs/>
          <w:sz w:val="22"/>
          <w:szCs w:val="22"/>
        </w:rPr>
        <w:t>modeling</w:t>
      </w:r>
      <w:proofErr w:type="spellEnd"/>
      <w:r w:rsidRPr="00CC5FFA">
        <w:rPr>
          <w:rFonts w:ascii="Titillium Web" w:hAnsi="Titillium Web" w:cs="Calibri"/>
          <w:bCs/>
          <w:sz w:val="22"/>
          <w:szCs w:val="22"/>
        </w:rPr>
        <w:t xml:space="preserve"> – </w:t>
      </w:r>
      <w:r w:rsidR="009D0E06" w:rsidRPr="00CC5FFA">
        <w:rPr>
          <w:rFonts w:ascii="Titillium Web" w:hAnsi="Titillium Web" w:cs="Calibri"/>
          <w:bCs/>
          <w:sz w:val="22"/>
          <w:szCs w:val="22"/>
        </w:rPr>
        <w:t>ORION</w:t>
      </w:r>
      <w:r w:rsidRPr="00CC5FFA">
        <w:rPr>
          <w:rFonts w:ascii="Titillium Web" w:hAnsi="Titillium Web" w:cs="Calibri"/>
          <w:bCs/>
          <w:sz w:val="22"/>
          <w:szCs w:val="22"/>
        </w:rPr>
        <w:t>, e ne accetta il finanziamento, ne designa il Responsabile Scientifico nella figura del Prof. Giovanni Esposito, e lo   delega, in qualità di Presidente della Scuola di Medicina e Chirurgia alla</w:t>
      </w:r>
    </w:p>
    <w:p w14:paraId="71AA1CB9" w14:textId="7C0249FC" w:rsidR="00264EE8" w:rsidRPr="0043682F" w:rsidRDefault="00264EE8" w:rsidP="00264EE8">
      <w:pPr>
        <w:ind w:right="281"/>
        <w:jc w:val="both"/>
        <w:rPr>
          <w:rFonts w:ascii="Titillium Web" w:hAnsi="Titillium Web" w:cs="Calibri"/>
          <w:bCs/>
          <w:sz w:val="22"/>
          <w:szCs w:val="22"/>
        </w:rPr>
      </w:pPr>
      <w:r w:rsidRPr="00CC5FFA">
        <w:rPr>
          <w:rFonts w:ascii="Titillium Web" w:hAnsi="Titillium Web" w:cs="Calibri"/>
          <w:bCs/>
          <w:sz w:val="22"/>
          <w:szCs w:val="22"/>
        </w:rPr>
        <w:t xml:space="preserve">            </w:t>
      </w:r>
      <w:r w:rsidR="004445F4">
        <w:rPr>
          <w:rFonts w:ascii="Titillium Web" w:hAnsi="Titillium Web" w:cs="Calibri"/>
          <w:bCs/>
          <w:sz w:val="22"/>
          <w:szCs w:val="22"/>
        </w:rPr>
        <w:tab/>
      </w:r>
      <w:r w:rsidRPr="0043682F">
        <w:rPr>
          <w:rFonts w:ascii="Titillium Web" w:hAnsi="Titillium Web" w:cs="Calibri"/>
          <w:bCs/>
          <w:sz w:val="22"/>
          <w:szCs w:val="22"/>
        </w:rPr>
        <w:t>sottoscrizione di tutti gli amministrativi relativi al progetto;</w:t>
      </w:r>
    </w:p>
    <w:p w14:paraId="65D511FA" w14:textId="290838E7" w:rsidR="00CC5FFA" w:rsidRPr="0043682F" w:rsidRDefault="00CC5FFA" w:rsidP="00CC5FFA">
      <w:pPr>
        <w:pStyle w:val="Paragrafoelenco"/>
        <w:numPr>
          <w:ilvl w:val="0"/>
          <w:numId w:val="29"/>
        </w:numPr>
        <w:ind w:right="281"/>
        <w:jc w:val="both"/>
        <w:rPr>
          <w:rFonts w:ascii="Titillium Web" w:hAnsi="Titillium Web" w:cs="Calibri"/>
          <w:bCs/>
          <w:sz w:val="22"/>
          <w:szCs w:val="22"/>
        </w:rPr>
      </w:pPr>
      <w:r w:rsidRPr="0043682F">
        <w:rPr>
          <w:rFonts w:ascii="Titillium Web" w:hAnsi="Titillium Web" w:cs="Calibri"/>
          <w:sz w:val="22"/>
          <w:szCs w:val="22"/>
        </w:rPr>
        <w:t xml:space="preserve">la delibera del C.d.A. n. 27 del 21/07/2025, con la quale, ai sensi dell’articolo 37 del Codice, è stata approvata la programmazione triennale degli acquisti di beni e servizi relativa al triennio </w:t>
      </w:r>
      <w:r w:rsidRPr="0043682F">
        <w:rPr>
          <w:rFonts w:ascii="Titillium Web" w:hAnsi="Titillium Web" w:cs="Calibri"/>
          <w:sz w:val="22"/>
          <w:szCs w:val="22"/>
        </w:rPr>
        <w:lastRenderedPageBreak/>
        <w:t>2025/2027, che contempla, per l’annualità 2025, anche il seguente intervento “</w:t>
      </w:r>
      <w:r w:rsidRPr="0043682F">
        <w:rPr>
          <w:rFonts w:ascii="Titillium Web" w:hAnsi="Titillium Web" w:cs="Calibri"/>
          <w:i/>
          <w:iCs/>
          <w:sz w:val="22"/>
          <w:szCs w:val="22"/>
        </w:rPr>
        <w:t>Sistema in grado di risolvere i profili di trascrizione in situ (</w:t>
      </w:r>
      <w:proofErr w:type="spellStart"/>
      <w:r w:rsidRPr="0043682F">
        <w:rPr>
          <w:rFonts w:ascii="Titillium Web" w:hAnsi="Titillium Web" w:cs="Calibri"/>
          <w:i/>
          <w:iCs/>
          <w:sz w:val="22"/>
          <w:szCs w:val="22"/>
        </w:rPr>
        <w:t>spatial</w:t>
      </w:r>
      <w:proofErr w:type="spellEnd"/>
      <w:r w:rsidRPr="0043682F">
        <w:rPr>
          <w:rFonts w:ascii="Titillium Web" w:hAnsi="Titillium Web" w:cs="Calibri"/>
          <w:i/>
          <w:iCs/>
          <w:sz w:val="22"/>
          <w:szCs w:val="22"/>
        </w:rPr>
        <w:t xml:space="preserve"> </w:t>
      </w:r>
      <w:proofErr w:type="spellStart"/>
      <w:r w:rsidRPr="0043682F">
        <w:rPr>
          <w:rFonts w:ascii="Titillium Web" w:hAnsi="Titillium Web" w:cs="Calibri"/>
          <w:i/>
          <w:iCs/>
          <w:sz w:val="22"/>
          <w:szCs w:val="22"/>
        </w:rPr>
        <w:t>trascriptomics</w:t>
      </w:r>
      <w:proofErr w:type="spellEnd"/>
      <w:r w:rsidRPr="0043682F">
        <w:rPr>
          <w:rFonts w:ascii="Titillium Web" w:hAnsi="Titillium Web" w:cs="Calibri"/>
          <w:i/>
          <w:iCs/>
          <w:sz w:val="22"/>
          <w:szCs w:val="22"/>
        </w:rPr>
        <w:t xml:space="preserve">) valutando l'intero </w:t>
      </w:r>
      <w:proofErr w:type="spellStart"/>
      <w:r w:rsidRPr="0043682F">
        <w:rPr>
          <w:rFonts w:ascii="Titillium Web" w:hAnsi="Titillium Web" w:cs="Calibri"/>
          <w:i/>
          <w:iCs/>
          <w:sz w:val="22"/>
          <w:szCs w:val="22"/>
        </w:rPr>
        <w:t>trascrittoma</w:t>
      </w:r>
      <w:proofErr w:type="spellEnd"/>
      <w:r w:rsidRPr="0043682F">
        <w:rPr>
          <w:rFonts w:ascii="Titillium Web" w:hAnsi="Titillium Web" w:cs="Calibri"/>
          <w:i/>
          <w:iCs/>
          <w:sz w:val="22"/>
          <w:szCs w:val="22"/>
        </w:rPr>
        <w:t xml:space="preserve"> e oltre 570 target proteici separatamente o simultaneamente per differenti tipologie di campioni: sezioni di tessuto intero, microarray tissutali (</w:t>
      </w:r>
      <w:proofErr w:type="spellStart"/>
      <w:r w:rsidRPr="0043682F">
        <w:rPr>
          <w:rFonts w:ascii="Titillium Web" w:hAnsi="Titillium Web" w:cs="Calibri"/>
          <w:i/>
          <w:iCs/>
          <w:sz w:val="22"/>
          <w:szCs w:val="22"/>
        </w:rPr>
        <w:t>tma</w:t>
      </w:r>
      <w:proofErr w:type="spellEnd"/>
      <w:r w:rsidRPr="0043682F">
        <w:rPr>
          <w:rFonts w:ascii="Titillium Web" w:hAnsi="Titillium Web" w:cs="Calibri"/>
          <w:i/>
          <w:iCs/>
          <w:sz w:val="22"/>
          <w:szCs w:val="22"/>
        </w:rPr>
        <w:t>) o organoidi, consentendo anche in modalità "custom" scoperta ed analisi di biomarcatori diagnostici, pronostici e predittivi</w:t>
      </w:r>
      <w:r w:rsidRPr="0043682F">
        <w:rPr>
          <w:rFonts w:ascii="Titillium Web" w:hAnsi="Titillium Web" w:cs="Calibri"/>
          <w:sz w:val="22"/>
          <w:szCs w:val="22"/>
        </w:rPr>
        <w:t>” con codice CUI F00876220633202500025, per l’importo complessivo (comprensivo di IVA) pari ad € 400.000,00 e nelle more del relativo aggiornamento, ravvisata l’esigenza di procedere all’avvio della procedura di gara in quanto connessa a finanziamento pubblico;</w:t>
      </w:r>
    </w:p>
    <w:p w14:paraId="2BE10DC9" w14:textId="77777777" w:rsidR="00264EE8" w:rsidRPr="00CC5FFA" w:rsidRDefault="00264EE8" w:rsidP="00264EE8">
      <w:pPr>
        <w:ind w:left="1416" w:right="281"/>
        <w:jc w:val="both"/>
        <w:rPr>
          <w:rFonts w:ascii="Titillium Web" w:hAnsi="Titillium Web" w:cs="Calibri"/>
          <w:bCs/>
          <w:sz w:val="22"/>
          <w:szCs w:val="22"/>
        </w:rPr>
      </w:pPr>
    </w:p>
    <w:p w14:paraId="1B98860B" w14:textId="77777777" w:rsidR="00264EE8" w:rsidRPr="00CC5FFA" w:rsidRDefault="00264EE8" w:rsidP="00264EE8">
      <w:pPr>
        <w:ind w:left="1416" w:right="281"/>
        <w:jc w:val="both"/>
        <w:rPr>
          <w:rFonts w:ascii="Titillium Web" w:hAnsi="Titillium Web" w:cs="Calibri"/>
          <w:bCs/>
          <w:sz w:val="22"/>
          <w:szCs w:val="22"/>
        </w:rPr>
      </w:pPr>
    </w:p>
    <w:bookmarkEnd w:id="1"/>
    <w:p w14:paraId="16A396AD" w14:textId="77777777" w:rsidR="00BE4297" w:rsidRPr="00CC5FFA" w:rsidRDefault="00BE4297" w:rsidP="00133756">
      <w:pPr>
        <w:tabs>
          <w:tab w:val="left" w:pos="8136"/>
        </w:tabs>
        <w:spacing w:line="276" w:lineRule="auto"/>
        <w:jc w:val="center"/>
        <w:rPr>
          <w:rFonts w:ascii="Titillium Web" w:hAnsi="Titillium Web" w:cs="Tahoma"/>
          <w:sz w:val="22"/>
          <w:szCs w:val="22"/>
        </w:rPr>
      </w:pPr>
      <w:r w:rsidRPr="00CC5FFA">
        <w:rPr>
          <w:rFonts w:ascii="Titillium Web" w:hAnsi="Titillium Web" w:cs="Tahoma"/>
          <w:sz w:val="22"/>
          <w:szCs w:val="22"/>
        </w:rPr>
        <w:t>con il presente Atto</w:t>
      </w:r>
    </w:p>
    <w:p w14:paraId="1CD832B5" w14:textId="77777777" w:rsidR="00BE4297" w:rsidRPr="00CC5FFA" w:rsidRDefault="00BE4297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sz w:val="22"/>
          <w:szCs w:val="22"/>
        </w:rPr>
      </w:pPr>
    </w:p>
    <w:p w14:paraId="2D1E04A6" w14:textId="77777777" w:rsidR="00BE4297" w:rsidRPr="00CC5FFA" w:rsidRDefault="00BE4297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sz w:val="22"/>
          <w:szCs w:val="22"/>
        </w:rPr>
      </w:pPr>
      <w:r w:rsidRPr="00CC5FFA">
        <w:rPr>
          <w:rFonts w:ascii="Titillium Web" w:hAnsi="Titillium Web" w:cs="Tahoma"/>
          <w:sz w:val="22"/>
          <w:szCs w:val="22"/>
        </w:rPr>
        <w:t xml:space="preserve">l’operatore identificato in epigrafe assume espressamente ed irrevocabilmente tutti – nessuno escluso – i seguenti vincoli, oneri ed impegni e, pertanto, dichiara ai sensi degli artt. 46 e 47 del D.P.R. n. 445/2000 e </w:t>
      </w:r>
      <w:proofErr w:type="spellStart"/>
      <w:r w:rsidRPr="00CC5FFA">
        <w:rPr>
          <w:rFonts w:ascii="Titillium Web" w:hAnsi="Titillium Web" w:cs="Tahoma"/>
          <w:sz w:val="22"/>
          <w:szCs w:val="22"/>
        </w:rPr>
        <w:t>s.m.i.</w:t>
      </w:r>
      <w:proofErr w:type="spellEnd"/>
      <w:r w:rsidRPr="00CC5FFA">
        <w:rPr>
          <w:rFonts w:ascii="Titillium Web" w:hAnsi="Titillium Web" w:cs="Tahoma"/>
          <w:sz w:val="22"/>
          <w:szCs w:val="22"/>
        </w:rPr>
        <w:t xml:space="preserve">, consapevole delle sanzioni penali di cui all’art. 76 del medesimo decreto: </w:t>
      </w:r>
    </w:p>
    <w:p w14:paraId="73A5254D" w14:textId="77777777" w:rsidR="00BE4297" w:rsidRPr="00CC5FFA" w:rsidRDefault="00BE4297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sz w:val="22"/>
          <w:szCs w:val="22"/>
        </w:rPr>
      </w:pPr>
      <w:r w:rsidRPr="00CC5FFA">
        <w:rPr>
          <w:rFonts w:ascii="Titillium Web" w:hAnsi="Titillium Web" w:cs="Tahoma"/>
          <w:b/>
          <w:bCs/>
          <w:sz w:val="22"/>
          <w:szCs w:val="22"/>
        </w:rPr>
        <w:t>1.</w:t>
      </w:r>
      <w:r w:rsidRPr="00CC5FFA">
        <w:rPr>
          <w:rFonts w:ascii="Titillium Web" w:hAnsi="Titillium Web" w:cs="Tahoma"/>
          <w:sz w:val="22"/>
          <w:szCs w:val="22"/>
        </w:rPr>
        <w:t xml:space="preserve"> di avere piena conoscenza della Documentazione relativa alla procedura di gara, di accettarne e di rispettarne tutte le disposizioni ivi contenute;</w:t>
      </w:r>
    </w:p>
    <w:p w14:paraId="2194E260" w14:textId="77777777" w:rsidR="00BE4297" w:rsidRPr="00CC5FFA" w:rsidRDefault="00BE4297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b/>
          <w:bCs/>
          <w:sz w:val="22"/>
          <w:szCs w:val="22"/>
        </w:rPr>
      </w:pPr>
    </w:p>
    <w:p w14:paraId="67BD49D3" w14:textId="77777777" w:rsidR="00BE4297" w:rsidRPr="00CC5FFA" w:rsidRDefault="00BE4297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sz w:val="22"/>
          <w:szCs w:val="22"/>
        </w:rPr>
      </w:pPr>
      <w:r w:rsidRPr="00CC5FFA">
        <w:rPr>
          <w:rFonts w:ascii="Titillium Web" w:hAnsi="Titillium Web" w:cs="Tahoma"/>
          <w:b/>
          <w:bCs/>
          <w:sz w:val="22"/>
          <w:szCs w:val="22"/>
        </w:rPr>
        <w:t>2.</w:t>
      </w:r>
      <w:r w:rsidRPr="00CC5FFA">
        <w:rPr>
          <w:rFonts w:ascii="Titillium Web" w:hAnsi="Titillium Web" w:cs="Tahoma"/>
          <w:sz w:val="22"/>
          <w:szCs w:val="22"/>
        </w:rPr>
        <w:t xml:space="preserve"> di impegnarsi (laddove occupi un numero pari o superiore a cinquanta dipendenti e sia tenuto a redigere il rapporto sulla situazione del personale ai sensi dell’art. 46 del decreto legislativo 11 aprile 2006, n. 198), a produrre, a pena di  esclusione, copia dell’ultimo rapporto redatto, con attestazione della sua conformità a quello eventualmente trasmesso alle rappresentanze sindacali aziendali e alla consigliera e al consigliere regionale di parità, ovvero, in caso  di inosservanza dei termini previsti dal comma 1 del medesimo art. 46, con attestazione della sua contestuale trasmissione alle rappresentanze sindacali aziendali e alla consigliera e al consigliere regionale di parità;  </w:t>
      </w:r>
    </w:p>
    <w:p w14:paraId="63C61265" w14:textId="77777777" w:rsidR="00BE4297" w:rsidRPr="00CC5FFA" w:rsidRDefault="00BE4297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b/>
          <w:bCs/>
          <w:sz w:val="22"/>
          <w:szCs w:val="22"/>
        </w:rPr>
      </w:pPr>
    </w:p>
    <w:p w14:paraId="40BC985D" w14:textId="77777777" w:rsidR="00BE4297" w:rsidRPr="00CC5FFA" w:rsidRDefault="00BE4297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iCs/>
          <w:sz w:val="22"/>
          <w:szCs w:val="22"/>
        </w:rPr>
      </w:pPr>
      <w:r w:rsidRPr="00CC5FFA">
        <w:rPr>
          <w:rFonts w:ascii="Titillium Web" w:hAnsi="Titillium Web" w:cs="Tahoma"/>
          <w:b/>
          <w:bCs/>
          <w:sz w:val="22"/>
          <w:szCs w:val="22"/>
        </w:rPr>
        <w:t>3.</w:t>
      </w:r>
      <w:r w:rsidRPr="00CC5FFA">
        <w:rPr>
          <w:rFonts w:ascii="Titillium Web" w:hAnsi="Titillium Web" w:cs="Tahoma"/>
          <w:sz w:val="22"/>
          <w:szCs w:val="22"/>
        </w:rPr>
        <w:t xml:space="preserve"> di impegnarsi (laddove occupi un numero pari o superiore a quindici dipendenti e non superiore a cinquanta e non  sia tenuto alla redazione del rapporto sulla situazione del personale, ai sensi dell’articolo 46 del decreto legislativo 11 aprile 2006, n. 198) a consegnare, entro sei mesi dalla conclusione del contratto,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 ed a trasmettere la predetta alle rappresentanze sindacali aziendali e alla consigliera e al consigliere regionale di parità, pena l’applicazione delle penali di cui all’articolo 47, comma 6 del decreto-legge 31 maggio 2021 n. 77, convertito con modificazioni dalla legge 29 luglio 2021 n. 108</w:t>
      </w:r>
      <w:r w:rsidRPr="00CC5FFA">
        <w:rPr>
          <w:rFonts w:ascii="Titillium Web" w:hAnsi="Titillium Web" w:cs="Tahoma"/>
          <w:iCs/>
          <w:sz w:val="22"/>
          <w:szCs w:val="22"/>
        </w:rPr>
        <w:t>;</w:t>
      </w:r>
    </w:p>
    <w:p w14:paraId="1E2E024D" w14:textId="77777777" w:rsidR="00BE4297" w:rsidRPr="00CC5FFA" w:rsidRDefault="00BE4297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b/>
          <w:bCs/>
          <w:iCs/>
          <w:sz w:val="22"/>
          <w:szCs w:val="22"/>
        </w:rPr>
      </w:pPr>
    </w:p>
    <w:p w14:paraId="661B07A2" w14:textId="77777777" w:rsidR="00BE4297" w:rsidRPr="00CC5FFA" w:rsidRDefault="00BE4297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iCs/>
          <w:sz w:val="22"/>
          <w:szCs w:val="22"/>
        </w:rPr>
      </w:pPr>
      <w:r w:rsidRPr="00CC5FFA">
        <w:rPr>
          <w:rFonts w:ascii="Titillium Web" w:hAnsi="Titillium Web" w:cs="Tahoma"/>
          <w:b/>
          <w:bCs/>
          <w:iCs/>
          <w:sz w:val="22"/>
          <w:szCs w:val="22"/>
        </w:rPr>
        <w:t>4.</w:t>
      </w:r>
      <w:r w:rsidRPr="00CC5FFA">
        <w:rPr>
          <w:rFonts w:ascii="Titillium Web" w:hAnsi="Titillium Web" w:cs="Tahoma"/>
          <w:iCs/>
          <w:sz w:val="22"/>
          <w:szCs w:val="22"/>
        </w:rPr>
        <w:t xml:space="preserve"> di impegnarsi (qualora occupi un numero pari o superiore a quindici dipendenti) a consegnare, entro sei mesi dalla conclusione del contratto, una relazione che chiarisca l'avvenuto assolvimento degli obblighi previsti a carico delle imprese dalla legge 12 marzo 1999, n. 68, e illustri eventuali sanzioni e provvedimenti imposti a carico delle imprese nel triennio precedente la data di scadenza della presentazione delle offerte. L'operatore economico è altresì tenuto a trasmettere la relazione alle rappresentanze sindacali aziendali, pena l’applicazione delle penali di cui all’art. 47, comma 6, del decreto-legge 31 maggio 2021 n.77, convertito con modificazioni dalla legge 29 luglio 2021 n. 108;</w:t>
      </w:r>
    </w:p>
    <w:p w14:paraId="3600AC84" w14:textId="77777777" w:rsidR="00BE4297" w:rsidRPr="00CC5FFA" w:rsidRDefault="00BE4297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iCs/>
          <w:sz w:val="22"/>
          <w:szCs w:val="22"/>
        </w:rPr>
      </w:pPr>
    </w:p>
    <w:p w14:paraId="52E7158D" w14:textId="77777777" w:rsidR="00BE4297" w:rsidRPr="00CC5FFA" w:rsidRDefault="00BE4297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iCs/>
          <w:sz w:val="22"/>
          <w:szCs w:val="22"/>
        </w:rPr>
      </w:pPr>
      <w:r w:rsidRPr="00CC5FFA">
        <w:rPr>
          <w:rFonts w:ascii="Titillium Web" w:hAnsi="Titillium Web" w:cs="Tahoma"/>
          <w:b/>
          <w:bCs/>
          <w:iCs/>
          <w:sz w:val="22"/>
          <w:szCs w:val="22"/>
        </w:rPr>
        <w:t>5.</w:t>
      </w:r>
      <w:r w:rsidRPr="00CC5FFA">
        <w:rPr>
          <w:rFonts w:ascii="Titillium Web" w:hAnsi="Titillium Web" w:cs="Tahoma"/>
          <w:iCs/>
          <w:sz w:val="22"/>
          <w:szCs w:val="22"/>
        </w:rPr>
        <w:t xml:space="preserve"> di impegnarsi, in caso di aggiudicazione del contratto, ad assicurare una quota pari al 30% sia all’occupazione femminile sia all’occupazione giovanile, di cui all’articolo 47, comma 4 del decreto legge n. 77 del 2021, nonché del Decreto ministeriale della Presidenza del Consiglio dei Ministri, Dipartimento delle pari opportunità, del 7 dicembre 2021 (Adozione delle linee guida volte a favorire la pari opportunità di genere e generazionali, nonché l'inclusione lavorativa delle persone con disabilità nei contratti pubblici finanziati con le risorse del PNRR e del PNC), pubblicato nella Gazzetta Ufficiale del 30 dicembre 2021, n. 309;</w:t>
      </w:r>
    </w:p>
    <w:p w14:paraId="063294A6" w14:textId="77777777" w:rsidR="00BE4297" w:rsidRPr="00CC5FFA" w:rsidRDefault="00BE4297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b/>
          <w:bCs/>
          <w:iCs/>
          <w:sz w:val="22"/>
          <w:szCs w:val="22"/>
        </w:rPr>
      </w:pPr>
    </w:p>
    <w:p w14:paraId="5D7D5049" w14:textId="77777777" w:rsidR="00BE4297" w:rsidRPr="00CC5FFA" w:rsidRDefault="00BE4297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iCs/>
          <w:sz w:val="22"/>
          <w:szCs w:val="22"/>
        </w:rPr>
      </w:pPr>
      <w:r w:rsidRPr="00CC5FFA">
        <w:rPr>
          <w:rFonts w:ascii="Titillium Web" w:hAnsi="Titillium Web" w:cs="Tahoma"/>
          <w:b/>
          <w:bCs/>
          <w:iCs/>
          <w:sz w:val="22"/>
          <w:szCs w:val="22"/>
        </w:rPr>
        <w:t>6.</w:t>
      </w:r>
      <w:r w:rsidRPr="00CC5FFA">
        <w:rPr>
          <w:rFonts w:ascii="Titillium Web" w:hAnsi="Titillium Web" w:cs="Tahoma"/>
          <w:iCs/>
          <w:sz w:val="22"/>
          <w:szCs w:val="22"/>
        </w:rPr>
        <w:t xml:space="preserve"> di impegnarsi ad osservare gli obblighi specifici del PNRR, tra cui il principio di non arrecare un danno significativo agli obiettivi ambientali cd. “Do No </w:t>
      </w:r>
      <w:proofErr w:type="spellStart"/>
      <w:r w:rsidRPr="00CC5FFA">
        <w:rPr>
          <w:rFonts w:ascii="Titillium Web" w:hAnsi="Titillium Web" w:cs="Tahoma"/>
          <w:iCs/>
          <w:sz w:val="22"/>
          <w:szCs w:val="22"/>
        </w:rPr>
        <w:t>Significant</w:t>
      </w:r>
      <w:proofErr w:type="spellEnd"/>
      <w:r w:rsidRPr="00CC5FFA">
        <w:rPr>
          <w:rFonts w:ascii="Titillium Web" w:hAnsi="Titillium Web" w:cs="Tahoma"/>
          <w:iCs/>
          <w:sz w:val="22"/>
          <w:szCs w:val="22"/>
        </w:rPr>
        <w:t xml:space="preserve"> </w:t>
      </w:r>
      <w:proofErr w:type="spellStart"/>
      <w:r w:rsidRPr="00CC5FFA">
        <w:rPr>
          <w:rFonts w:ascii="Titillium Web" w:hAnsi="Titillium Web" w:cs="Tahoma"/>
          <w:iCs/>
          <w:sz w:val="22"/>
          <w:szCs w:val="22"/>
        </w:rPr>
        <w:t>Harm</w:t>
      </w:r>
      <w:proofErr w:type="spellEnd"/>
      <w:r w:rsidRPr="00CC5FFA">
        <w:rPr>
          <w:rFonts w:ascii="Titillium Web" w:hAnsi="Titillium Web" w:cs="Tahoma"/>
          <w:iCs/>
          <w:sz w:val="22"/>
          <w:szCs w:val="22"/>
        </w:rPr>
        <w:t>” (DNSH) ai sensi dell'articolo 17 del Regolamento (UE) 2020/852 del Parlamento europeo e del Consiglio del 18 giugno 2020, nonché in riferimento alla “Guida operativa” di cui alla Circolare MEF del 30 dicembre 2021, n. 32;</w:t>
      </w:r>
    </w:p>
    <w:p w14:paraId="2B7DF243" w14:textId="77777777" w:rsidR="00BE4297" w:rsidRPr="00CC5FFA" w:rsidRDefault="00BE4297" w:rsidP="00133756">
      <w:pPr>
        <w:spacing w:line="276" w:lineRule="auto"/>
        <w:jc w:val="both"/>
        <w:rPr>
          <w:rFonts w:ascii="Titillium Web" w:hAnsi="Titillium Web" w:cs="Tahoma"/>
          <w:b/>
          <w:bCs/>
          <w:iCs/>
          <w:sz w:val="22"/>
          <w:szCs w:val="22"/>
        </w:rPr>
      </w:pPr>
      <w:bookmarkStart w:id="3" w:name="_Hlk187753748"/>
    </w:p>
    <w:p w14:paraId="19C3C3D7" w14:textId="77777777" w:rsidR="00BE4297" w:rsidRPr="00CC5FFA" w:rsidRDefault="00BE4297" w:rsidP="00133756">
      <w:pPr>
        <w:spacing w:line="276" w:lineRule="auto"/>
        <w:jc w:val="both"/>
        <w:rPr>
          <w:rFonts w:ascii="Titillium Web" w:hAnsi="Titillium Web" w:cs="Calibri"/>
          <w:iCs/>
          <w:sz w:val="22"/>
          <w:szCs w:val="22"/>
        </w:rPr>
      </w:pPr>
      <w:r w:rsidRPr="00CC5FFA">
        <w:rPr>
          <w:rFonts w:ascii="Titillium Web" w:hAnsi="Titillium Web" w:cs="Tahoma"/>
          <w:b/>
          <w:bCs/>
          <w:iCs/>
          <w:sz w:val="22"/>
          <w:szCs w:val="22"/>
        </w:rPr>
        <w:t>7.</w:t>
      </w:r>
      <w:r w:rsidRPr="00CC5FFA">
        <w:rPr>
          <w:rFonts w:ascii="Titillium Web" w:hAnsi="Titillium Web" w:cs="Tahoma"/>
          <w:iCs/>
          <w:sz w:val="22"/>
          <w:szCs w:val="22"/>
        </w:rPr>
        <w:t xml:space="preserve"> </w:t>
      </w:r>
      <w:r w:rsidRPr="00CC5FFA">
        <w:rPr>
          <w:rFonts w:ascii="Titillium Web" w:hAnsi="Titillium Web" w:cs="Calibri"/>
          <w:iCs/>
          <w:sz w:val="22"/>
          <w:szCs w:val="22"/>
        </w:rPr>
        <w:t>di impegnarsi (qualora occupi un numero di dipendenti pari o superiore a quindici e non superiore a cinquanta), a pena di esclusione, a non omettere, nei dodici mesi precedenti al termine di presentazione dell’offerta, di produrre alla stazione appaltante di un precedente contratto, finanziato in tutto o in parte con i fondi del PNRR o del PNC, la relazione di cui all’art. 47, comma 3 del Decreto-legge n. 77 del 2021</w:t>
      </w:r>
      <w:bookmarkEnd w:id="3"/>
      <w:r w:rsidRPr="00CC5FFA">
        <w:rPr>
          <w:rFonts w:ascii="Titillium Web" w:hAnsi="Titillium Web" w:cs="Calibri"/>
          <w:iCs/>
          <w:sz w:val="22"/>
          <w:szCs w:val="22"/>
        </w:rPr>
        <w:t>.</w:t>
      </w:r>
    </w:p>
    <w:p w14:paraId="1D2F71BA" w14:textId="77777777" w:rsidR="00676320" w:rsidRPr="00CC5FFA" w:rsidRDefault="00676320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sz w:val="22"/>
          <w:szCs w:val="22"/>
        </w:rPr>
      </w:pPr>
    </w:p>
    <w:p w14:paraId="68265014" w14:textId="1A96906D" w:rsidR="00BE4297" w:rsidRPr="00CC5FFA" w:rsidRDefault="00BE4297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sz w:val="22"/>
          <w:szCs w:val="22"/>
        </w:rPr>
      </w:pPr>
      <w:r w:rsidRPr="00CC5FFA">
        <w:rPr>
          <w:rFonts w:ascii="Titillium Web" w:hAnsi="Titillium Web" w:cs="Tahoma"/>
          <w:sz w:val="22"/>
          <w:szCs w:val="22"/>
        </w:rPr>
        <w:t>Il concorrente si impegna, inoltre, a fornire, ai sensi del Decreto MEF dell’11 marzo 2022, n. 55, i dati necessari per l’identificazione del titolare effettivo dell’operatore economico stesso (di cui all’art. 20 del D.lgs. 231/2007).</w:t>
      </w:r>
    </w:p>
    <w:p w14:paraId="20DAF685" w14:textId="77777777" w:rsidR="00BE4297" w:rsidRPr="00CC5FFA" w:rsidRDefault="00BE4297" w:rsidP="00133756">
      <w:pPr>
        <w:tabs>
          <w:tab w:val="left" w:pos="8136"/>
        </w:tabs>
        <w:spacing w:line="276" w:lineRule="auto"/>
        <w:jc w:val="both"/>
        <w:rPr>
          <w:rFonts w:ascii="Titillium Web" w:hAnsi="Titillium Web" w:cs="Tahoma"/>
          <w:sz w:val="22"/>
          <w:szCs w:val="22"/>
        </w:rPr>
      </w:pPr>
      <w:r w:rsidRPr="00CC5FFA">
        <w:rPr>
          <w:rFonts w:ascii="Titillium Web" w:hAnsi="Titillium Web" w:cs="Tahoma"/>
          <w:sz w:val="22"/>
          <w:szCs w:val="22"/>
        </w:rPr>
        <w:t xml:space="preserve">Il concorrente ed il titolare effettivo si impegnano a dichiarare l’assenza di situazioni di conflitto, anche potenziale, di interessi in relazione alla presente procedura e ad impegnarsi, qualora tale situazione dovesse verificarsi in un momento successivo, a darne tempestiva comunicazione alla stazione appaltante. </w:t>
      </w:r>
    </w:p>
    <w:p w14:paraId="0B300B56" w14:textId="77777777" w:rsidR="00BE4297" w:rsidRPr="00CC5FFA" w:rsidRDefault="00BE4297" w:rsidP="00133756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</w:p>
    <w:p w14:paraId="4D2F8C80" w14:textId="77777777" w:rsidR="00BE4297" w:rsidRPr="00CC5FFA" w:rsidRDefault="00BE4297" w:rsidP="00133756">
      <w:pPr>
        <w:tabs>
          <w:tab w:val="left" w:pos="8136"/>
        </w:tabs>
        <w:jc w:val="both"/>
        <w:rPr>
          <w:rFonts w:ascii="Titillium Web" w:hAnsi="Titillium Web" w:cs="Tahoma"/>
          <w:sz w:val="22"/>
          <w:szCs w:val="22"/>
        </w:rPr>
      </w:pPr>
      <w:r w:rsidRPr="00CC5FFA">
        <w:rPr>
          <w:rFonts w:ascii="Titillium Web" w:hAnsi="Titillium Web" w:cs="Tahoma"/>
          <w:sz w:val="22"/>
          <w:szCs w:val="22"/>
        </w:rPr>
        <w:t>Luogo e Data</w:t>
      </w:r>
    </w:p>
    <w:p w14:paraId="342DF56C" w14:textId="77777777" w:rsidR="00BE4297" w:rsidRPr="00CC5FFA" w:rsidRDefault="00BE4297" w:rsidP="00133756">
      <w:pPr>
        <w:pStyle w:val="Default"/>
        <w:jc w:val="both"/>
        <w:rPr>
          <w:rFonts w:ascii="Titillium Web" w:hAnsi="Titillium Web"/>
          <w:iCs/>
          <w:sz w:val="22"/>
          <w:szCs w:val="22"/>
        </w:rPr>
      </w:pPr>
      <w:r w:rsidRPr="00CC5FFA">
        <w:rPr>
          <w:rFonts w:ascii="Titillium Web" w:hAnsi="Titillium Web"/>
          <w:iCs/>
          <w:sz w:val="22"/>
          <w:szCs w:val="22"/>
        </w:rPr>
        <w:t>_____, il ____________</w:t>
      </w:r>
    </w:p>
    <w:p w14:paraId="622D11CA" w14:textId="77777777" w:rsidR="00BE4297" w:rsidRPr="00CC5FFA" w:rsidRDefault="00BE4297" w:rsidP="00133756">
      <w:pPr>
        <w:pStyle w:val="Default"/>
        <w:jc w:val="both"/>
        <w:rPr>
          <w:rFonts w:ascii="Titillium Web" w:hAnsi="Titillium Web"/>
          <w:iCs/>
          <w:sz w:val="22"/>
          <w:szCs w:val="22"/>
        </w:rPr>
      </w:pPr>
    </w:p>
    <w:p w14:paraId="76105F40" w14:textId="77777777" w:rsidR="00BE4297" w:rsidRPr="00CC5FFA" w:rsidRDefault="00BE4297" w:rsidP="00133756">
      <w:pPr>
        <w:pStyle w:val="Default"/>
        <w:ind w:firstLine="4678"/>
        <w:jc w:val="right"/>
        <w:rPr>
          <w:rFonts w:ascii="Titillium Web" w:hAnsi="Titillium Web"/>
          <w:iCs/>
          <w:sz w:val="22"/>
          <w:szCs w:val="22"/>
        </w:rPr>
      </w:pPr>
      <w:r w:rsidRPr="00CC5FFA">
        <w:rPr>
          <w:rFonts w:ascii="Titillium Web" w:hAnsi="Titillium Web"/>
          <w:iCs/>
          <w:sz w:val="22"/>
          <w:szCs w:val="22"/>
        </w:rPr>
        <w:t>FIRMATARIO</w:t>
      </w:r>
    </w:p>
    <w:p w14:paraId="6D231787" w14:textId="77777777" w:rsidR="00BE4297" w:rsidRPr="00CC5FFA" w:rsidRDefault="00BE4297" w:rsidP="00133756">
      <w:pPr>
        <w:pStyle w:val="Default"/>
        <w:ind w:firstLine="4678"/>
        <w:jc w:val="right"/>
        <w:rPr>
          <w:rFonts w:ascii="Titillium Web" w:hAnsi="Titillium Web"/>
          <w:iCs/>
          <w:sz w:val="22"/>
          <w:szCs w:val="22"/>
        </w:rPr>
      </w:pPr>
      <w:r w:rsidRPr="00CC5FFA">
        <w:rPr>
          <w:rFonts w:ascii="Titillium Web" w:hAnsi="Titillium Web"/>
          <w:iCs/>
          <w:sz w:val="22"/>
          <w:szCs w:val="22"/>
        </w:rPr>
        <w:t>___________</w:t>
      </w:r>
    </w:p>
    <w:p w14:paraId="2002D24F" w14:textId="32415B48" w:rsidR="000D2909" w:rsidRPr="00CC5FFA" w:rsidRDefault="00BE4297" w:rsidP="00133756">
      <w:pPr>
        <w:pStyle w:val="Default"/>
        <w:ind w:firstLine="4678"/>
        <w:jc w:val="right"/>
        <w:rPr>
          <w:rFonts w:ascii="Titillium Web" w:hAnsi="Titillium Web"/>
          <w:iCs/>
          <w:sz w:val="22"/>
          <w:szCs w:val="22"/>
        </w:rPr>
      </w:pPr>
      <w:r w:rsidRPr="00CC5FFA">
        <w:rPr>
          <w:rFonts w:ascii="Titillium Web" w:hAnsi="Titillium Web"/>
          <w:iCs/>
          <w:sz w:val="22"/>
          <w:szCs w:val="22"/>
        </w:rPr>
        <w:t>firmato digitalmente</w:t>
      </w:r>
    </w:p>
    <w:sectPr w:rsidR="000D2909" w:rsidRPr="00CC5FFA" w:rsidSect="00592300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843" w:right="1134" w:bottom="1559" w:left="1134" w:header="170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2123" w14:textId="77777777" w:rsidR="0002420D" w:rsidRDefault="0002420D" w:rsidP="00C34F6F">
      <w:r>
        <w:separator/>
      </w:r>
    </w:p>
  </w:endnote>
  <w:endnote w:type="continuationSeparator" w:id="0">
    <w:p w14:paraId="14DA6964" w14:textId="77777777" w:rsidR="0002420D" w:rsidRDefault="0002420D" w:rsidP="00C34F6F">
      <w:r>
        <w:continuationSeparator/>
      </w:r>
    </w:p>
  </w:endnote>
  <w:endnote w:type="continuationNotice" w:id="1">
    <w:p w14:paraId="0968EFA7" w14:textId="77777777" w:rsidR="0002420D" w:rsidRDefault="000242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64FA" w14:textId="3B608124" w:rsidR="00C34F6F" w:rsidRPr="00186268" w:rsidRDefault="00186268" w:rsidP="00C34F6F">
    <w:pPr>
      <w:pStyle w:val="Pidipagina"/>
      <w:tabs>
        <w:tab w:val="clear" w:pos="4819"/>
        <w:tab w:val="center" w:pos="5245"/>
      </w:tabs>
      <w:jc w:val="center"/>
      <w:rPr>
        <w:rFonts w:ascii="Calibri" w:hAnsi="Calibri"/>
        <w:color w:val="FFFFFF" w:themeColor="background1"/>
        <w:sz w:val="20"/>
        <w:szCs w:val="20"/>
      </w:rPr>
    </w:pPr>
    <w:r w:rsidRPr="00186268">
      <w:rPr>
        <w:rStyle w:val="Numeropagina"/>
        <w:rFonts w:ascii="Calibri" w:hAnsi="Calibri"/>
        <w:color w:val="FFFFFF" w:themeColor="background1"/>
        <w:sz w:val="20"/>
        <w:szCs w:val="20"/>
      </w:rPr>
      <w:fldChar w:fldCharType="begin"/>
    </w:r>
    <w:r w:rsidRPr="00186268">
      <w:rPr>
        <w:rStyle w:val="Numeropagina"/>
        <w:rFonts w:ascii="Calibri" w:hAnsi="Calibri"/>
        <w:color w:val="FFFFFF" w:themeColor="background1"/>
        <w:sz w:val="20"/>
        <w:szCs w:val="20"/>
      </w:rPr>
      <w:instrText xml:space="preserve"> PAGE </w:instrText>
    </w:r>
    <w:r w:rsidRPr="00186268">
      <w:rPr>
        <w:rStyle w:val="Numeropagina"/>
        <w:rFonts w:ascii="Calibri" w:hAnsi="Calibri"/>
        <w:color w:val="FFFFFF" w:themeColor="background1"/>
        <w:sz w:val="20"/>
        <w:szCs w:val="20"/>
      </w:rPr>
      <w:fldChar w:fldCharType="separate"/>
    </w:r>
    <w:r w:rsidR="0044449A">
      <w:rPr>
        <w:rStyle w:val="Numeropagina"/>
        <w:rFonts w:ascii="Calibri" w:hAnsi="Calibri"/>
        <w:noProof/>
        <w:color w:val="FFFFFF" w:themeColor="background1"/>
        <w:sz w:val="20"/>
        <w:szCs w:val="20"/>
      </w:rPr>
      <w:t>3</w:t>
    </w:r>
    <w:r w:rsidRPr="00186268">
      <w:rPr>
        <w:rStyle w:val="Numeropagina"/>
        <w:rFonts w:ascii="Calibri" w:hAnsi="Calibri"/>
        <w:color w:val="FFFFFF" w:themeColor="background1"/>
        <w:sz w:val="20"/>
        <w:szCs w:val="20"/>
      </w:rPr>
      <w:fldChar w:fldCharType="end"/>
    </w:r>
  </w:p>
  <w:p w14:paraId="2AE5D730" w14:textId="77777777" w:rsidR="00963EA2" w:rsidRDefault="00963E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372122"/>
      <w:docPartObj>
        <w:docPartGallery w:val="Page Numbers (Bottom of Page)"/>
        <w:docPartUnique/>
      </w:docPartObj>
    </w:sdtPr>
    <w:sdtContent>
      <w:p w14:paraId="34C36CF8" w14:textId="27771FBD" w:rsidR="00550438" w:rsidRDefault="00000000" w:rsidP="00CB2DA5">
        <w:pPr>
          <w:pStyle w:val="Pidipagina"/>
        </w:pPr>
      </w:p>
    </w:sdtContent>
  </w:sdt>
  <w:p w14:paraId="1990133C" w14:textId="12FAA61D" w:rsidR="00C34F6F" w:rsidRDefault="00C34F6F" w:rsidP="00C34F6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A3EC" w14:textId="77777777" w:rsidR="0002420D" w:rsidRDefault="0002420D" w:rsidP="00C34F6F">
      <w:r>
        <w:separator/>
      </w:r>
    </w:p>
  </w:footnote>
  <w:footnote w:type="continuationSeparator" w:id="0">
    <w:p w14:paraId="1AB22839" w14:textId="77777777" w:rsidR="0002420D" w:rsidRDefault="0002420D" w:rsidP="00C34F6F">
      <w:r>
        <w:continuationSeparator/>
      </w:r>
    </w:p>
  </w:footnote>
  <w:footnote w:type="continuationNotice" w:id="1">
    <w:p w14:paraId="701AD737" w14:textId="77777777" w:rsidR="0002420D" w:rsidRDefault="000242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124C" w14:textId="751693B2" w:rsidR="00C34F6F" w:rsidRPr="00C34F6F" w:rsidRDefault="00CB2DA5" w:rsidP="00C34F6F">
    <w:pPr>
      <w:pStyle w:val="Intestazione"/>
      <w:tabs>
        <w:tab w:val="clear" w:pos="4819"/>
        <w:tab w:val="clear" w:pos="9638"/>
      </w:tabs>
      <w:rPr>
        <w:sz w:val="20"/>
        <w:szCs w:val="20"/>
      </w:rPr>
    </w:pPr>
    <w:r>
      <w:rPr>
        <w:noProof/>
        <w:sz w:val="20"/>
      </w:rPr>
      <w:drawing>
        <wp:anchor distT="0" distB="0" distL="0" distR="0" simplePos="0" relativeHeight="251662341" behindDoc="1" locked="0" layoutInCell="1" allowOverlap="1" wp14:anchorId="7E2CFBF6" wp14:editId="462FC3CC">
          <wp:simplePos x="0" y="0"/>
          <wp:positionH relativeFrom="margin">
            <wp:posOffset>-729615</wp:posOffset>
          </wp:positionH>
          <wp:positionV relativeFrom="topMargin">
            <wp:posOffset>9525</wp:posOffset>
          </wp:positionV>
          <wp:extent cx="7543800" cy="847725"/>
          <wp:effectExtent l="0" t="0" r="0" b="9525"/>
          <wp:wrapTight wrapText="bothSides">
            <wp:wrapPolygon edited="0">
              <wp:start x="0" y="0"/>
              <wp:lineTo x="0" y="21357"/>
              <wp:lineTo x="21545" y="21357"/>
              <wp:lineTo x="21545" y="0"/>
              <wp:lineTo x="0" y="0"/>
            </wp:wrapPolygon>
          </wp:wrapTight>
          <wp:docPr id="116478494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80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71CE" w14:textId="6D0A46D4" w:rsidR="00CB2DA5" w:rsidRPr="00CB2DA5" w:rsidRDefault="00CB2DA5" w:rsidP="008B575D">
    <w:pPr>
      <w:ind w:right="281"/>
      <w:jc w:val="center"/>
      <w:rPr>
        <w:rFonts w:ascii="Calibri" w:eastAsia="Times New Roman" w:hAnsi="Calibri" w:cs="Calibri"/>
        <w:b/>
        <w:lang w:eastAsia="it-IT"/>
      </w:rPr>
    </w:pPr>
    <w:r>
      <w:rPr>
        <w:noProof/>
        <w:sz w:val="20"/>
      </w:rPr>
      <w:drawing>
        <wp:anchor distT="0" distB="0" distL="0" distR="0" simplePos="0" relativeHeight="251660293" behindDoc="1" locked="0" layoutInCell="1" allowOverlap="1" wp14:anchorId="42D12813" wp14:editId="736B0E23">
          <wp:simplePos x="0" y="0"/>
          <wp:positionH relativeFrom="margin">
            <wp:posOffset>-720090</wp:posOffset>
          </wp:positionH>
          <wp:positionV relativeFrom="topMargin">
            <wp:posOffset>19050</wp:posOffset>
          </wp:positionV>
          <wp:extent cx="7581900" cy="876300"/>
          <wp:effectExtent l="0" t="0" r="0" b="0"/>
          <wp:wrapTight wrapText="bothSides">
            <wp:wrapPolygon edited="0">
              <wp:start x="0" y="0"/>
              <wp:lineTo x="0" y="21130"/>
              <wp:lineTo x="21546" y="21130"/>
              <wp:lineTo x="21546" y="0"/>
              <wp:lineTo x="0" y="0"/>
            </wp:wrapPolygon>
          </wp:wrapTight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19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2DA5">
      <w:rPr>
        <w:rFonts w:ascii="Calibri" w:eastAsia="Times New Roman" w:hAnsi="Calibri" w:cs="Calibri"/>
        <w:b/>
        <w:lang w:eastAsia="it-IT"/>
      </w:rPr>
      <w:t xml:space="preserve">Iniziativa “Digital </w:t>
    </w:r>
    <w:proofErr w:type="spellStart"/>
    <w:r w:rsidRPr="00CB2DA5">
      <w:rPr>
        <w:rFonts w:ascii="Calibri" w:eastAsia="Times New Roman" w:hAnsi="Calibri" w:cs="Calibri"/>
        <w:b/>
        <w:lang w:eastAsia="it-IT"/>
      </w:rPr>
      <w:t>Driven</w:t>
    </w:r>
    <w:proofErr w:type="spellEnd"/>
    <w:r w:rsidRPr="00CB2DA5">
      <w:rPr>
        <w:rFonts w:ascii="Calibri" w:eastAsia="Times New Roman" w:hAnsi="Calibri" w:cs="Calibri"/>
        <w:b/>
        <w:lang w:eastAsia="it-IT"/>
      </w:rPr>
      <w:t xml:space="preserve"> </w:t>
    </w:r>
    <w:proofErr w:type="spellStart"/>
    <w:r w:rsidRPr="00CB2DA5">
      <w:rPr>
        <w:rFonts w:ascii="Calibri" w:eastAsia="Times New Roman" w:hAnsi="Calibri" w:cs="Calibri"/>
        <w:b/>
        <w:lang w:eastAsia="it-IT"/>
      </w:rPr>
      <w:t>Diagnostics</w:t>
    </w:r>
    <w:proofErr w:type="spellEnd"/>
    <w:r w:rsidRPr="00CB2DA5">
      <w:rPr>
        <w:rFonts w:ascii="Calibri" w:eastAsia="Times New Roman" w:hAnsi="Calibri" w:cs="Calibri"/>
        <w:b/>
        <w:lang w:eastAsia="it-IT"/>
      </w:rPr>
      <w:t xml:space="preserve">, </w:t>
    </w:r>
    <w:proofErr w:type="spellStart"/>
    <w:r w:rsidRPr="00CB2DA5">
      <w:rPr>
        <w:rFonts w:ascii="Calibri" w:eastAsia="Times New Roman" w:hAnsi="Calibri" w:cs="Calibri"/>
        <w:b/>
        <w:lang w:eastAsia="it-IT"/>
      </w:rPr>
      <w:t>prognostics</w:t>
    </w:r>
    <w:proofErr w:type="spellEnd"/>
    <w:r w:rsidRPr="00CB2DA5">
      <w:rPr>
        <w:rFonts w:ascii="Calibri" w:eastAsia="Times New Roman" w:hAnsi="Calibri" w:cs="Calibri"/>
        <w:b/>
        <w:lang w:eastAsia="it-IT"/>
      </w:rPr>
      <w:t xml:space="preserve"> and </w:t>
    </w:r>
    <w:proofErr w:type="spellStart"/>
    <w:r w:rsidRPr="00CB2DA5">
      <w:rPr>
        <w:rFonts w:ascii="Calibri" w:eastAsia="Times New Roman" w:hAnsi="Calibri" w:cs="Calibri"/>
        <w:b/>
        <w:lang w:eastAsia="it-IT"/>
      </w:rPr>
      <w:t>therapeutics</w:t>
    </w:r>
    <w:proofErr w:type="spellEnd"/>
    <w:r w:rsidRPr="00CB2DA5">
      <w:rPr>
        <w:rFonts w:ascii="Calibri" w:eastAsia="Times New Roman" w:hAnsi="Calibri" w:cs="Calibri"/>
        <w:b/>
        <w:lang w:eastAsia="it-IT"/>
      </w:rPr>
      <w:t xml:space="preserve"> for </w:t>
    </w:r>
    <w:proofErr w:type="spellStart"/>
    <w:r w:rsidRPr="00CB2DA5">
      <w:rPr>
        <w:rFonts w:ascii="Calibri" w:eastAsia="Times New Roman" w:hAnsi="Calibri" w:cs="Calibri"/>
        <w:b/>
        <w:lang w:eastAsia="it-IT"/>
      </w:rPr>
      <w:t>sustainable</w:t>
    </w:r>
    <w:proofErr w:type="spellEnd"/>
    <w:r w:rsidRPr="00CB2DA5">
      <w:rPr>
        <w:rFonts w:ascii="Calibri" w:eastAsia="Times New Roman" w:hAnsi="Calibri" w:cs="Calibri"/>
        <w:b/>
        <w:lang w:eastAsia="it-IT"/>
      </w:rPr>
      <w:t xml:space="preserve"> Health care” (acronimo “D3 4 Health”), Avviso n. 931 del 06/06/2022, per la concessione di finanziamenti destinati ad iniziative di ricerca per tecnologie e percorsi innovativi in ambito sanitario ed assistenziale, nell’ambito del Piano Nazionale per gli investimenti Complementari al PNRR (PNC) – Bando a Cascata per le Imprese/Università e altri organismi di ricerca  - CUP B53C22005980001 – codice identificativo PNC0000001 </w:t>
    </w:r>
  </w:p>
  <w:p w14:paraId="4C6CB9B0" w14:textId="77777777" w:rsidR="00CB2DA5" w:rsidRPr="00CB2DA5" w:rsidRDefault="00CB2DA5" w:rsidP="00CB2DA5">
    <w:pPr>
      <w:ind w:right="281"/>
      <w:jc w:val="center"/>
      <w:rPr>
        <w:rFonts w:ascii="Calibri" w:eastAsia="Times New Roman" w:hAnsi="Calibri" w:cs="Calibri"/>
        <w:b/>
        <w:lang w:eastAsia="it-IT"/>
      </w:rPr>
    </w:pPr>
    <w:r w:rsidRPr="00CB2DA5">
      <w:rPr>
        <w:rFonts w:ascii="Calibri" w:eastAsia="Times New Roman" w:hAnsi="Calibri" w:cs="Calibri"/>
        <w:b/>
        <w:lang w:eastAsia="it-IT"/>
      </w:rPr>
      <w:t>“D3 4 HEALTH”</w:t>
    </w:r>
  </w:p>
  <w:p w14:paraId="253F1BAA" w14:textId="77777777" w:rsidR="00E033CB" w:rsidRPr="0052116D" w:rsidRDefault="00E033CB" w:rsidP="007C3C57">
    <w:pPr>
      <w:widowControl w:val="0"/>
      <w:jc w:val="center"/>
      <w:rPr>
        <w:rFonts w:ascii="Calibri" w:eastAsia="Times New Roman" w:hAnsi="Calibri" w:cs="Open Sans"/>
        <w:sz w:val="21"/>
        <w:szCs w:val="21"/>
        <w:lang w:eastAsia="it-IT"/>
      </w:rPr>
    </w:pPr>
  </w:p>
  <w:p w14:paraId="24E5A98D" w14:textId="7E5555B7" w:rsidR="00C34F6F" w:rsidRPr="002C4D68" w:rsidRDefault="00C34F6F">
    <w:pPr>
      <w:pStyle w:val="Intestazion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3F2"/>
    <w:multiLevelType w:val="hybridMultilevel"/>
    <w:tmpl w:val="1DB2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7EE2"/>
    <w:multiLevelType w:val="hybridMultilevel"/>
    <w:tmpl w:val="5B567F82"/>
    <w:lvl w:ilvl="0" w:tplc="878C85BE">
      <w:numFmt w:val="bullet"/>
      <w:lvlText w:val="–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31C89"/>
    <w:multiLevelType w:val="hybridMultilevel"/>
    <w:tmpl w:val="6F5A37A6"/>
    <w:lvl w:ilvl="0" w:tplc="74A0A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540EC"/>
    <w:multiLevelType w:val="hybridMultilevel"/>
    <w:tmpl w:val="ED2C4696"/>
    <w:lvl w:ilvl="0" w:tplc="0A1ACB6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D7C95"/>
    <w:multiLevelType w:val="hybridMultilevel"/>
    <w:tmpl w:val="4E50E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74E1C"/>
    <w:multiLevelType w:val="hybridMultilevel"/>
    <w:tmpl w:val="A7866DD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3691B46"/>
    <w:multiLevelType w:val="hybridMultilevel"/>
    <w:tmpl w:val="0854D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80D7C"/>
    <w:multiLevelType w:val="hybridMultilevel"/>
    <w:tmpl w:val="AA26222A"/>
    <w:lvl w:ilvl="0" w:tplc="1458B49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6E6CE4"/>
    <w:multiLevelType w:val="hybridMultilevel"/>
    <w:tmpl w:val="935CCFD4"/>
    <w:lvl w:ilvl="0" w:tplc="006C6F60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0410001B">
      <w:start w:val="1"/>
      <w:numFmt w:val="lowerRoman"/>
      <w:lvlText w:val="%3."/>
      <w:lvlJc w:val="right"/>
      <w:pPr>
        <w:ind w:left="1658" w:hanging="180"/>
      </w:pPr>
    </w:lvl>
    <w:lvl w:ilvl="3" w:tplc="0410000F">
      <w:start w:val="1"/>
      <w:numFmt w:val="decimal"/>
      <w:lvlText w:val="%4."/>
      <w:lvlJc w:val="left"/>
      <w:pPr>
        <w:ind w:left="2378" w:hanging="360"/>
      </w:pPr>
    </w:lvl>
    <w:lvl w:ilvl="4" w:tplc="04100019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D135B81"/>
    <w:multiLevelType w:val="hybridMultilevel"/>
    <w:tmpl w:val="BE1E28A6"/>
    <w:lvl w:ilvl="0" w:tplc="98381B9E">
      <w:numFmt w:val="bullet"/>
      <w:lvlText w:val="–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8462F"/>
    <w:multiLevelType w:val="hybridMultilevel"/>
    <w:tmpl w:val="9C5288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24A98"/>
    <w:multiLevelType w:val="hybridMultilevel"/>
    <w:tmpl w:val="B386938E"/>
    <w:lvl w:ilvl="0" w:tplc="21622DA6">
      <w:start w:val="4"/>
      <w:numFmt w:val="bullet"/>
      <w:lvlText w:val="-"/>
      <w:lvlJc w:val="left"/>
      <w:pPr>
        <w:ind w:left="720" w:hanging="360"/>
      </w:pPr>
      <w:rPr>
        <w:rFonts w:ascii="Titillium Web" w:eastAsia="Calibri" w:hAnsi="Titillium Web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A5931"/>
    <w:multiLevelType w:val="hybridMultilevel"/>
    <w:tmpl w:val="DB247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D05A88"/>
    <w:multiLevelType w:val="hybridMultilevel"/>
    <w:tmpl w:val="BAAA9FE2"/>
    <w:lvl w:ilvl="0" w:tplc="9842B1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762B4"/>
    <w:multiLevelType w:val="hybridMultilevel"/>
    <w:tmpl w:val="78E67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C089B"/>
    <w:multiLevelType w:val="hybridMultilevel"/>
    <w:tmpl w:val="A5BA4C30"/>
    <w:lvl w:ilvl="0" w:tplc="A19202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C5E49"/>
    <w:multiLevelType w:val="hybridMultilevel"/>
    <w:tmpl w:val="C96A5D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8677B"/>
    <w:multiLevelType w:val="hybridMultilevel"/>
    <w:tmpl w:val="91F25C18"/>
    <w:lvl w:ilvl="0" w:tplc="0528372A">
      <w:numFmt w:val="bullet"/>
      <w:lvlText w:val="-"/>
      <w:lvlJc w:val="left"/>
      <w:pPr>
        <w:ind w:left="720" w:hanging="360"/>
      </w:pPr>
      <w:rPr>
        <w:rFonts w:ascii="Titillium Web" w:eastAsiaTheme="minorEastAsia" w:hAnsi="Titillium Web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A6EDC"/>
    <w:multiLevelType w:val="hybridMultilevel"/>
    <w:tmpl w:val="6BF6252C"/>
    <w:lvl w:ilvl="0" w:tplc="5CA47A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54927"/>
    <w:multiLevelType w:val="hybridMultilevel"/>
    <w:tmpl w:val="4F284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76212"/>
    <w:multiLevelType w:val="hybridMultilevel"/>
    <w:tmpl w:val="651EA83C"/>
    <w:lvl w:ilvl="0" w:tplc="B6CA0A82">
      <w:numFmt w:val="bullet"/>
      <w:lvlText w:val="-"/>
      <w:lvlJc w:val="left"/>
      <w:pPr>
        <w:ind w:left="720" w:hanging="360"/>
      </w:pPr>
      <w:rPr>
        <w:rFonts w:ascii="Titillium Web" w:eastAsiaTheme="minorEastAsia" w:hAnsi="Titillium Web" w:cs="Titillium Web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D6CA6"/>
    <w:multiLevelType w:val="hybridMultilevel"/>
    <w:tmpl w:val="C55876A0"/>
    <w:lvl w:ilvl="0" w:tplc="0410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2" w15:restartNumberingAfterBreak="0">
    <w:nsid w:val="6CDB677F"/>
    <w:multiLevelType w:val="hybridMultilevel"/>
    <w:tmpl w:val="9664027E"/>
    <w:lvl w:ilvl="0" w:tplc="A19202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43F06"/>
    <w:multiLevelType w:val="hybridMultilevel"/>
    <w:tmpl w:val="184A3498"/>
    <w:lvl w:ilvl="0" w:tplc="0410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4" w15:restartNumberingAfterBreak="0">
    <w:nsid w:val="71506703"/>
    <w:multiLevelType w:val="hybridMultilevel"/>
    <w:tmpl w:val="F54CEF0E"/>
    <w:lvl w:ilvl="0" w:tplc="D7F0B302">
      <w:numFmt w:val="bullet"/>
      <w:lvlText w:val="–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14E0A"/>
    <w:multiLevelType w:val="hybridMultilevel"/>
    <w:tmpl w:val="42CCDBB4"/>
    <w:lvl w:ilvl="0" w:tplc="A19202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E748C"/>
    <w:multiLevelType w:val="hybridMultilevel"/>
    <w:tmpl w:val="CB946C0C"/>
    <w:lvl w:ilvl="0" w:tplc="A19202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B78"/>
    <w:multiLevelType w:val="hybridMultilevel"/>
    <w:tmpl w:val="D19025D8"/>
    <w:lvl w:ilvl="0" w:tplc="DE2E1E24">
      <w:numFmt w:val="bullet"/>
      <w:lvlText w:val="–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C58A4"/>
    <w:multiLevelType w:val="hybridMultilevel"/>
    <w:tmpl w:val="A0764B02"/>
    <w:lvl w:ilvl="0" w:tplc="A19202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820571">
    <w:abstractNumId w:val="3"/>
  </w:num>
  <w:num w:numId="2" w16cid:durableId="716658826">
    <w:abstractNumId w:val="5"/>
  </w:num>
  <w:num w:numId="3" w16cid:durableId="1915356164">
    <w:abstractNumId w:val="21"/>
  </w:num>
  <w:num w:numId="4" w16cid:durableId="921795021">
    <w:abstractNumId w:val="23"/>
  </w:num>
  <w:num w:numId="5" w16cid:durableId="655301302">
    <w:abstractNumId w:val="19"/>
  </w:num>
  <w:num w:numId="6" w16cid:durableId="1894074811">
    <w:abstractNumId w:val="13"/>
  </w:num>
  <w:num w:numId="7" w16cid:durableId="1583684822">
    <w:abstractNumId w:val="12"/>
  </w:num>
  <w:num w:numId="8" w16cid:durableId="233511957">
    <w:abstractNumId w:val="28"/>
  </w:num>
  <w:num w:numId="9" w16cid:durableId="2080864126">
    <w:abstractNumId w:val="24"/>
  </w:num>
  <w:num w:numId="10" w16cid:durableId="2081438484">
    <w:abstractNumId w:val="15"/>
  </w:num>
  <w:num w:numId="11" w16cid:durableId="521551701">
    <w:abstractNumId w:val="27"/>
  </w:num>
  <w:num w:numId="12" w16cid:durableId="350648574">
    <w:abstractNumId w:val="25"/>
  </w:num>
  <w:num w:numId="13" w16cid:durableId="944658679">
    <w:abstractNumId w:val="1"/>
  </w:num>
  <w:num w:numId="14" w16cid:durableId="865367614">
    <w:abstractNumId w:val="22"/>
  </w:num>
  <w:num w:numId="15" w16cid:durableId="351034132">
    <w:abstractNumId w:val="9"/>
  </w:num>
  <w:num w:numId="16" w16cid:durableId="1093208857">
    <w:abstractNumId w:val="26"/>
  </w:num>
  <w:num w:numId="17" w16cid:durableId="1458403566">
    <w:abstractNumId w:val="0"/>
  </w:num>
  <w:num w:numId="18" w16cid:durableId="193081878">
    <w:abstractNumId w:val="10"/>
  </w:num>
  <w:num w:numId="19" w16cid:durableId="562643443">
    <w:abstractNumId w:val="16"/>
  </w:num>
  <w:num w:numId="20" w16cid:durableId="1399133306">
    <w:abstractNumId w:val="14"/>
  </w:num>
  <w:num w:numId="21" w16cid:durableId="2122525572">
    <w:abstractNumId w:val="4"/>
  </w:num>
  <w:num w:numId="22" w16cid:durableId="1263150026">
    <w:abstractNumId w:val="6"/>
  </w:num>
  <w:num w:numId="23" w16cid:durableId="1846237720">
    <w:abstractNumId w:val="8"/>
  </w:num>
  <w:num w:numId="24" w16cid:durableId="484593084">
    <w:abstractNumId w:val="7"/>
  </w:num>
  <w:num w:numId="25" w16cid:durableId="780877364">
    <w:abstractNumId w:val="11"/>
  </w:num>
  <w:num w:numId="26" w16cid:durableId="1680933428">
    <w:abstractNumId w:val="2"/>
  </w:num>
  <w:num w:numId="27" w16cid:durableId="1158498404">
    <w:abstractNumId w:val="20"/>
  </w:num>
  <w:num w:numId="28" w16cid:durableId="860633621">
    <w:abstractNumId w:val="17"/>
  </w:num>
  <w:num w:numId="29" w16cid:durableId="18440830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6F"/>
    <w:rsid w:val="000013AC"/>
    <w:rsid w:val="0002420D"/>
    <w:rsid w:val="00026E2B"/>
    <w:rsid w:val="00036C28"/>
    <w:rsid w:val="0004375D"/>
    <w:rsid w:val="00052B80"/>
    <w:rsid w:val="00064256"/>
    <w:rsid w:val="00067536"/>
    <w:rsid w:val="00071867"/>
    <w:rsid w:val="00072AEF"/>
    <w:rsid w:val="0009017C"/>
    <w:rsid w:val="000A4C3E"/>
    <w:rsid w:val="000A7085"/>
    <w:rsid w:val="000B3919"/>
    <w:rsid w:val="000D2909"/>
    <w:rsid w:val="000E3801"/>
    <w:rsid w:val="000E5630"/>
    <w:rsid w:val="000E5BF9"/>
    <w:rsid w:val="000F0BCF"/>
    <w:rsid w:val="000F3AF4"/>
    <w:rsid w:val="001040A8"/>
    <w:rsid w:val="001135B0"/>
    <w:rsid w:val="00125191"/>
    <w:rsid w:val="0012597F"/>
    <w:rsid w:val="00126919"/>
    <w:rsid w:val="00131617"/>
    <w:rsid w:val="00133478"/>
    <w:rsid w:val="00133756"/>
    <w:rsid w:val="0014134A"/>
    <w:rsid w:val="00142C87"/>
    <w:rsid w:val="001431F6"/>
    <w:rsid w:val="0014796C"/>
    <w:rsid w:val="00147D51"/>
    <w:rsid w:val="001656C8"/>
    <w:rsid w:val="00171F15"/>
    <w:rsid w:val="001736EE"/>
    <w:rsid w:val="00180E29"/>
    <w:rsid w:val="001813B4"/>
    <w:rsid w:val="00186268"/>
    <w:rsid w:val="0019764C"/>
    <w:rsid w:val="00197733"/>
    <w:rsid w:val="001A0063"/>
    <w:rsid w:val="001A4987"/>
    <w:rsid w:val="001B29F8"/>
    <w:rsid w:val="001B2B65"/>
    <w:rsid w:val="001B4142"/>
    <w:rsid w:val="001B6662"/>
    <w:rsid w:val="001D153F"/>
    <w:rsid w:val="001D4D9F"/>
    <w:rsid w:val="001E783A"/>
    <w:rsid w:val="001E7C0C"/>
    <w:rsid w:val="001F205A"/>
    <w:rsid w:val="001F2294"/>
    <w:rsid w:val="001F48BA"/>
    <w:rsid w:val="00203A2D"/>
    <w:rsid w:val="00207C79"/>
    <w:rsid w:val="00207DAC"/>
    <w:rsid w:val="002117DB"/>
    <w:rsid w:val="00215165"/>
    <w:rsid w:val="00217673"/>
    <w:rsid w:val="00227150"/>
    <w:rsid w:val="00241DC5"/>
    <w:rsid w:val="00244005"/>
    <w:rsid w:val="00250A63"/>
    <w:rsid w:val="00250A8D"/>
    <w:rsid w:val="00264EE8"/>
    <w:rsid w:val="00271910"/>
    <w:rsid w:val="00277EF3"/>
    <w:rsid w:val="00291279"/>
    <w:rsid w:val="00296891"/>
    <w:rsid w:val="002A3026"/>
    <w:rsid w:val="002A3AEC"/>
    <w:rsid w:val="002A6585"/>
    <w:rsid w:val="002B323E"/>
    <w:rsid w:val="002B62C2"/>
    <w:rsid w:val="002C129C"/>
    <w:rsid w:val="002C2E4C"/>
    <w:rsid w:val="002C4D68"/>
    <w:rsid w:val="002D05AD"/>
    <w:rsid w:val="002D2D43"/>
    <w:rsid w:val="002D377F"/>
    <w:rsid w:val="002D3DD9"/>
    <w:rsid w:val="002D77F7"/>
    <w:rsid w:val="002E0C81"/>
    <w:rsid w:val="002E37FC"/>
    <w:rsid w:val="002E6C6C"/>
    <w:rsid w:val="002E6EC2"/>
    <w:rsid w:val="00303CAD"/>
    <w:rsid w:val="0030617A"/>
    <w:rsid w:val="00312516"/>
    <w:rsid w:val="0031676F"/>
    <w:rsid w:val="0032442F"/>
    <w:rsid w:val="003264B8"/>
    <w:rsid w:val="0032685D"/>
    <w:rsid w:val="00331998"/>
    <w:rsid w:val="0033516A"/>
    <w:rsid w:val="0034679F"/>
    <w:rsid w:val="00350E98"/>
    <w:rsid w:val="003556ED"/>
    <w:rsid w:val="00362978"/>
    <w:rsid w:val="00367F22"/>
    <w:rsid w:val="00372A3C"/>
    <w:rsid w:val="00377325"/>
    <w:rsid w:val="003824CB"/>
    <w:rsid w:val="003A40C1"/>
    <w:rsid w:val="003A660B"/>
    <w:rsid w:val="003B4C69"/>
    <w:rsid w:val="003B544E"/>
    <w:rsid w:val="003C4F58"/>
    <w:rsid w:val="003C5A6F"/>
    <w:rsid w:val="003F6E32"/>
    <w:rsid w:val="00401796"/>
    <w:rsid w:val="00402BBD"/>
    <w:rsid w:val="00407F19"/>
    <w:rsid w:val="00413683"/>
    <w:rsid w:val="00417956"/>
    <w:rsid w:val="0043369B"/>
    <w:rsid w:val="0043682F"/>
    <w:rsid w:val="00437B56"/>
    <w:rsid w:val="00440CA5"/>
    <w:rsid w:val="0044449A"/>
    <w:rsid w:val="004445F4"/>
    <w:rsid w:val="004473D3"/>
    <w:rsid w:val="00453D66"/>
    <w:rsid w:val="00461EF3"/>
    <w:rsid w:val="00464959"/>
    <w:rsid w:val="00476D96"/>
    <w:rsid w:val="004835C4"/>
    <w:rsid w:val="004902C7"/>
    <w:rsid w:val="00490DF4"/>
    <w:rsid w:val="0049353B"/>
    <w:rsid w:val="004959F1"/>
    <w:rsid w:val="004A1DF4"/>
    <w:rsid w:val="004A702F"/>
    <w:rsid w:val="004A7DA1"/>
    <w:rsid w:val="004C29AE"/>
    <w:rsid w:val="004C61DC"/>
    <w:rsid w:val="004C68D3"/>
    <w:rsid w:val="004F421B"/>
    <w:rsid w:val="00501C81"/>
    <w:rsid w:val="005052C5"/>
    <w:rsid w:val="00511CDF"/>
    <w:rsid w:val="0052116D"/>
    <w:rsid w:val="0052263F"/>
    <w:rsid w:val="0053374C"/>
    <w:rsid w:val="00543650"/>
    <w:rsid w:val="00550438"/>
    <w:rsid w:val="005540DB"/>
    <w:rsid w:val="0055743C"/>
    <w:rsid w:val="00562206"/>
    <w:rsid w:val="00574858"/>
    <w:rsid w:val="005761D3"/>
    <w:rsid w:val="005772E3"/>
    <w:rsid w:val="00577460"/>
    <w:rsid w:val="005843A7"/>
    <w:rsid w:val="00592300"/>
    <w:rsid w:val="005948BE"/>
    <w:rsid w:val="005A7072"/>
    <w:rsid w:val="005C11F2"/>
    <w:rsid w:val="005C3520"/>
    <w:rsid w:val="005D1EC7"/>
    <w:rsid w:val="005E7190"/>
    <w:rsid w:val="005F0698"/>
    <w:rsid w:val="005F2237"/>
    <w:rsid w:val="00606DEF"/>
    <w:rsid w:val="00615581"/>
    <w:rsid w:val="00630E79"/>
    <w:rsid w:val="00671F3E"/>
    <w:rsid w:val="00676320"/>
    <w:rsid w:val="00677637"/>
    <w:rsid w:val="00682502"/>
    <w:rsid w:val="00686AF3"/>
    <w:rsid w:val="00691F7E"/>
    <w:rsid w:val="006A2146"/>
    <w:rsid w:val="006B14D6"/>
    <w:rsid w:val="006B2097"/>
    <w:rsid w:val="006B2579"/>
    <w:rsid w:val="006B3D44"/>
    <w:rsid w:val="006B64B4"/>
    <w:rsid w:val="006C2F46"/>
    <w:rsid w:val="006C61B5"/>
    <w:rsid w:val="006C7B48"/>
    <w:rsid w:val="006D0F97"/>
    <w:rsid w:val="006D2B1E"/>
    <w:rsid w:val="006D7C2D"/>
    <w:rsid w:val="006D7D58"/>
    <w:rsid w:val="006E3D4E"/>
    <w:rsid w:val="006E7E0D"/>
    <w:rsid w:val="006F29BE"/>
    <w:rsid w:val="006F3853"/>
    <w:rsid w:val="006F4893"/>
    <w:rsid w:val="00702D08"/>
    <w:rsid w:val="00703975"/>
    <w:rsid w:val="00703A2B"/>
    <w:rsid w:val="00703B09"/>
    <w:rsid w:val="0071495D"/>
    <w:rsid w:val="0072223A"/>
    <w:rsid w:val="00722B5B"/>
    <w:rsid w:val="0072602B"/>
    <w:rsid w:val="00726F61"/>
    <w:rsid w:val="00730B2D"/>
    <w:rsid w:val="007315EE"/>
    <w:rsid w:val="007324C3"/>
    <w:rsid w:val="007327CD"/>
    <w:rsid w:val="007344EC"/>
    <w:rsid w:val="007412BC"/>
    <w:rsid w:val="0074791C"/>
    <w:rsid w:val="007538A2"/>
    <w:rsid w:val="00763421"/>
    <w:rsid w:val="00764A8E"/>
    <w:rsid w:val="0077158B"/>
    <w:rsid w:val="007751EC"/>
    <w:rsid w:val="00776D04"/>
    <w:rsid w:val="0078221E"/>
    <w:rsid w:val="00794F8D"/>
    <w:rsid w:val="0079592A"/>
    <w:rsid w:val="0079799F"/>
    <w:rsid w:val="007A219E"/>
    <w:rsid w:val="007B5802"/>
    <w:rsid w:val="007C3C57"/>
    <w:rsid w:val="007D14D0"/>
    <w:rsid w:val="007D27AA"/>
    <w:rsid w:val="007D3264"/>
    <w:rsid w:val="007D4BC4"/>
    <w:rsid w:val="0080469A"/>
    <w:rsid w:val="00805084"/>
    <w:rsid w:val="0081164F"/>
    <w:rsid w:val="008202E5"/>
    <w:rsid w:val="00833A5F"/>
    <w:rsid w:val="00851C2B"/>
    <w:rsid w:val="008558AD"/>
    <w:rsid w:val="00856176"/>
    <w:rsid w:val="00865B9D"/>
    <w:rsid w:val="008679C9"/>
    <w:rsid w:val="00876BD9"/>
    <w:rsid w:val="00877A7A"/>
    <w:rsid w:val="00885F95"/>
    <w:rsid w:val="00892611"/>
    <w:rsid w:val="008A003A"/>
    <w:rsid w:val="008B43BC"/>
    <w:rsid w:val="008B575D"/>
    <w:rsid w:val="008C3AAB"/>
    <w:rsid w:val="008D0925"/>
    <w:rsid w:val="008D6E63"/>
    <w:rsid w:val="00900218"/>
    <w:rsid w:val="00904752"/>
    <w:rsid w:val="00907145"/>
    <w:rsid w:val="00922ADD"/>
    <w:rsid w:val="00923CE9"/>
    <w:rsid w:val="0093042E"/>
    <w:rsid w:val="00931203"/>
    <w:rsid w:val="00933036"/>
    <w:rsid w:val="00943FCF"/>
    <w:rsid w:val="00945BFE"/>
    <w:rsid w:val="00953BB7"/>
    <w:rsid w:val="009554D8"/>
    <w:rsid w:val="009607FE"/>
    <w:rsid w:val="00962318"/>
    <w:rsid w:val="00963EA2"/>
    <w:rsid w:val="00971EF3"/>
    <w:rsid w:val="009753F1"/>
    <w:rsid w:val="009808C3"/>
    <w:rsid w:val="009871E6"/>
    <w:rsid w:val="009967C9"/>
    <w:rsid w:val="009B2A1D"/>
    <w:rsid w:val="009C4EEE"/>
    <w:rsid w:val="009D0E06"/>
    <w:rsid w:val="009E355E"/>
    <w:rsid w:val="009E5456"/>
    <w:rsid w:val="009F1FBD"/>
    <w:rsid w:val="009F2FA4"/>
    <w:rsid w:val="00A014BC"/>
    <w:rsid w:val="00A056E6"/>
    <w:rsid w:val="00A12F6E"/>
    <w:rsid w:val="00A35AF8"/>
    <w:rsid w:val="00A518F5"/>
    <w:rsid w:val="00A53C68"/>
    <w:rsid w:val="00A56FE2"/>
    <w:rsid w:val="00A775A9"/>
    <w:rsid w:val="00A87CD4"/>
    <w:rsid w:val="00A95EAB"/>
    <w:rsid w:val="00AA3DEE"/>
    <w:rsid w:val="00AA4668"/>
    <w:rsid w:val="00AB7352"/>
    <w:rsid w:val="00AC087E"/>
    <w:rsid w:val="00AC358B"/>
    <w:rsid w:val="00AE3F85"/>
    <w:rsid w:val="00B020A3"/>
    <w:rsid w:val="00B04899"/>
    <w:rsid w:val="00B117B1"/>
    <w:rsid w:val="00B11ED8"/>
    <w:rsid w:val="00B15A74"/>
    <w:rsid w:val="00B21FB0"/>
    <w:rsid w:val="00B27F1C"/>
    <w:rsid w:val="00B423AE"/>
    <w:rsid w:val="00B6260C"/>
    <w:rsid w:val="00B80994"/>
    <w:rsid w:val="00B81E29"/>
    <w:rsid w:val="00B8758B"/>
    <w:rsid w:val="00B95E8B"/>
    <w:rsid w:val="00BA1A75"/>
    <w:rsid w:val="00BA4354"/>
    <w:rsid w:val="00BB0DBB"/>
    <w:rsid w:val="00BB4B60"/>
    <w:rsid w:val="00BC4627"/>
    <w:rsid w:val="00BC5FCA"/>
    <w:rsid w:val="00BC7A3D"/>
    <w:rsid w:val="00BD0B38"/>
    <w:rsid w:val="00BD5228"/>
    <w:rsid w:val="00BE1371"/>
    <w:rsid w:val="00BE2157"/>
    <w:rsid w:val="00BE4297"/>
    <w:rsid w:val="00BE4720"/>
    <w:rsid w:val="00BF3BF7"/>
    <w:rsid w:val="00BF5D43"/>
    <w:rsid w:val="00C01FF9"/>
    <w:rsid w:val="00C07B7E"/>
    <w:rsid w:val="00C146B1"/>
    <w:rsid w:val="00C1644E"/>
    <w:rsid w:val="00C2049D"/>
    <w:rsid w:val="00C25C84"/>
    <w:rsid w:val="00C26D77"/>
    <w:rsid w:val="00C27F80"/>
    <w:rsid w:val="00C31FB6"/>
    <w:rsid w:val="00C34F6F"/>
    <w:rsid w:val="00C522CC"/>
    <w:rsid w:val="00C52BFE"/>
    <w:rsid w:val="00C5471A"/>
    <w:rsid w:val="00C5791E"/>
    <w:rsid w:val="00C610E8"/>
    <w:rsid w:val="00C65283"/>
    <w:rsid w:val="00C66D72"/>
    <w:rsid w:val="00C70E64"/>
    <w:rsid w:val="00C72AEE"/>
    <w:rsid w:val="00C73C7E"/>
    <w:rsid w:val="00C8172F"/>
    <w:rsid w:val="00C83754"/>
    <w:rsid w:val="00C918BE"/>
    <w:rsid w:val="00CA1333"/>
    <w:rsid w:val="00CA70DF"/>
    <w:rsid w:val="00CB273D"/>
    <w:rsid w:val="00CB2DA5"/>
    <w:rsid w:val="00CB6B63"/>
    <w:rsid w:val="00CC3F40"/>
    <w:rsid w:val="00CC5FFA"/>
    <w:rsid w:val="00CD2BCE"/>
    <w:rsid w:val="00CD5A7E"/>
    <w:rsid w:val="00CE1513"/>
    <w:rsid w:val="00CF296F"/>
    <w:rsid w:val="00CF29C4"/>
    <w:rsid w:val="00CF2D19"/>
    <w:rsid w:val="00D01638"/>
    <w:rsid w:val="00D017F0"/>
    <w:rsid w:val="00D07A13"/>
    <w:rsid w:val="00D125C6"/>
    <w:rsid w:val="00D12D54"/>
    <w:rsid w:val="00D2245E"/>
    <w:rsid w:val="00D33097"/>
    <w:rsid w:val="00D42F02"/>
    <w:rsid w:val="00D5172B"/>
    <w:rsid w:val="00D541E9"/>
    <w:rsid w:val="00D55B93"/>
    <w:rsid w:val="00D60AB4"/>
    <w:rsid w:val="00D61B22"/>
    <w:rsid w:val="00D620DB"/>
    <w:rsid w:val="00D64E36"/>
    <w:rsid w:val="00D71304"/>
    <w:rsid w:val="00D71307"/>
    <w:rsid w:val="00D71CD8"/>
    <w:rsid w:val="00D72C6F"/>
    <w:rsid w:val="00D75FD8"/>
    <w:rsid w:val="00D7623F"/>
    <w:rsid w:val="00D8208F"/>
    <w:rsid w:val="00D84EA6"/>
    <w:rsid w:val="00D92DE6"/>
    <w:rsid w:val="00D96F45"/>
    <w:rsid w:val="00DA2C11"/>
    <w:rsid w:val="00DA67D4"/>
    <w:rsid w:val="00DA68DF"/>
    <w:rsid w:val="00DA6BB9"/>
    <w:rsid w:val="00DB12D0"/>
    <w:rsid w:val="00DC0047"/>
    <w:rsid w:val="00DC79D7"/>
    <w:rsid w:val="00DD19DA"/>
    <w:rsid w:val="00DE40E4"/>
    <w:rsid w:val="00DE74DF"/>
    <w:rsid w:val="00DE7D16"/>
    <w:rsid w:val="00DF178C"/>
    <w:rsid w:val="00DF414B"/>
    <w:rsid w:val="00DF5BD4"/>
    <w:rsid w:val="00DF689E"/>
    <w:rsid w:val="00E033CB"/>
    <w:rsid w:val="00E10060"/>
    <w:rsid w:val="00E14B05"/>
    <w:rsid w:val="00E346B2"/>
    <w:rsid w:val="00E40B68"/>
    <w:rsid w:val="00E41CE9"/>
    <w:rsid w:val="00E4249F"/>
    <w:rsid w:val="00E43099"/>
    <w:rsid w:val="00E52D3B"/>
    <w:rsid w:val="00E60F28"/>
    <w:rsid w:val="00E653A8"/>
    <w:rsid w:val="00E71EC8"/>
    <w:rsid w:val="00E86754"/>
    <w:rsid w:val="00E94DCD"/>
    <w:rsid w:val="00EA167F"/>
    <w:rsid w:val="00EA3AD3"/>
    <w:rsid w:val="00EA4FD6"/>
    <w:rsid w:val="00EC0DBF"/>
    <w:rsid w:val="00EC2C7D"/>
    <w:rsid w:val="00EC580D"/>
    <w:rsid w:val="00EC7FB4"/>
    <w:rsid w:val="00ED14F0"/>
    <w:rsid w:val="00ED7EE6"/>
    <w:rsid w:val="00EE20ED"/>
    <w:rsid w:val="00EE605E"/>
    <w:rsid w:val="00EE7B2F"/>
    <w:rsid w:val="00EF167E"/>
    <w:rsid w:val="00EF6707"/>
    <w:rsid w:val="00F0230D"/>
    <w:rsid w:val="00F04BAF"/>
    <w:rsid w:val="00F23A91"/>
    <w:rsid w:val="00F34609"/>
    <w:rsid w:val="00F418EC"/>
    <w:rsid w:val="00F44351"/>
    <w:rsid w:val="00F5790B"/>
    <w:rsid w:val="00F603BC"/>
    <w:rsid w:val="00F85CC3"/>
    <w:rsid w:val="00F9120A"/>
    <w:rsid w:val="00FA0017"/>
    <w:rsid w:val="00FB2610"/>
    <w:rsid w:val="00FB4540"/>
    <w:rsid w:val="00FB72C4"/>
    <w:rsid w:val="00FC3A87"/>
    <w:rsid w:val="00FC416B"/>
    <w:rsid w:val="00FD2899"/>
    <w:rsid w:val="00FD5326"/>
    <w:rsid w:val="00FD6300"/>
    <w:rsid w:val="00FE0C97"/>
    <w:rsid w:val="00FE125A"/>
    <w:rsid w:val="00FE23E6"/>
    <w:rsid w:val="00FE2666"/>
    <w:rsid w:val="00FF3BA8"/>
    <w:rsid w:val="00FF5F0F"/>
    <w:rsid w:val="105683B8"/>
    <w:rsid w:val="13D24301"/>
    <w:rsid w:val="1E0A52AA"/>
    <w:rsid w:val="21594D65"/>
    <w:rsid w:val="65BF0E36"/>
    <w:rsid w:val="663E999F"/>
    <w:rsid w:val="7B8352A9"/>
    <w:rsid w:val="7B9383D1"/>
    <w:rsid w:val="7DEA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5E4A66"/>
  <w14:defaultImageDpi w14:val="300"/>
  <w15:docId w15:val="{1A743E0D-638A-4E6A-9CF1-E1FE9FDC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DF4"/>
    <w:rPr>
      <w:rFonts w:eastAsiaTheme="minorHAnsi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66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00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4F6F"/>
    <w:pPr>
      <w:tabs>
        <w:tab w:val="center" w:pos="4819"/>
        <w:tab w:val="right" w:pos="9638"/>
      </w:tabs>
    </w:pPr>
    <w:rPr>
      <w:rFonts w:ascii="Times New Roman" w:eastAsiaTheme="minorEastAsia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F6F"/>
    <w:rPr>
      <w:rFonts w:ascii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34F6F"/>
    <w:pPr>
      <w:tabs>
        <w:tab w:val="center" w:pos="4819"/>
        <w:tab w:val="right" w:pos="9638"/>
      </w:tabs>
    </w:pPr>
    <w:rPr>
      <w:rFonts w:ascii="Times New Roman" w:eastAsiaTheme="minorEastAsia" w:hAnsi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F6F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F6F"/>
    <w:rPr>
      <w:rFonts w:ascii="Lucida Grande" w:eastAsiaTheme="minorEastAsia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F6F"/>
    <w:rPr>
      <w:rFonts w:ascii="Lucida Grande" w:hAnsi="Lucida Grande" w:cs="Lucida Grande"/>
      <w:sz w:val="18"/>
      <w:szCs w:val="18"/>
    </w:rPr>
  </w:style>
  <w:style w:type="character" w:customStyle="1" w:styleId="eop">
    <w:name w:val="eop"/>
    <w:basedOn w:val="Carpredefinitoparagrafo"/>
    <w:rsid w:val="004A1DF4"/>
  </w:style>
  <w:style w:type="table" w:styleId="Grigliatabella">
    <w:name w:val="Table Grid"/>
    <w:basedOn w:val="Tabellanormale"/>
    <w:uiPriority w:val="39"/>
    <w:rsid w:val="004A1DF4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967C9"/>
    <w:pPr>
      <w:widowControl w:val="0"/>
      <w:autoSpaceDE w:val="0"/>
      <w:autoSpaceDN w:val="0"/>
      <w:ind w:left="208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67C9"/>
    <w:rPr>
      <w:rFonts w:ascii="Calibri" w:eastAsia="Calibri" w:hAnsi="Calibri" w:cs="Calibri"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967C9"/>
    <w:rPr>
      <w:color w:val="0000FF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9967C9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AVisto">
    <w:name w:val="A_Visto"/>
    <w:basedOn w:val="Corpotesto"/>
    <w:rsid w:val="002C4D68"/>
    <w:pPr>
      <w:spacing w:before="120"/>
      <w:ind w:left="709" w:hanging="709"/>
      <w:jc w:val="both"/>
    </w:pPr>
    <w:rPr>
      <w:rFonts w:cstheme="minorHAnsi"/>
      <w:color w:val="010202"/>
      <w:sz w:val="22"/>
      <w:szCs w:val="22"/>
    </w:rPr>
  </w:style>
  <w:style w:type="paragraph" w:customStyle="1" w:styleId="Titolo11">
    <w:name w:val="Titolo 11"/>
    <w:basedOn w:val="Normale"/>
    <w:uiPriority w:val="1"/>
    <w:qFormat/>
    <w:rsid w:val="002C4D68"/>
    <w:pPr>
      <w:widowControl w:val="0"/>
      <w:autoSpaceDE w:val="0"/>
      <w:autoSpaceDN w:val="0"/>
      <w:adjustRightInd w:val="0"/>
      <w:spacing w:before="21"/>
      <w:ind w:left="639"/>
      <w:outlineLvl w:val="0"/>
    </w:pPr>
    <w:rPr>
      <w:rFonts w:ascii="Arial" w:eastAsia="Times New Roman" w:hAnsi="Arial" w:cs="Arial"/>
      <w:sz w:val="25"/>
      <w:szCs w:val="25"/>
      <w:lang w:eastAsia="it-IT"/>
    </w:rPr>
  </w:style>
  <w:style w:type="paragraph" w:customStyle="1" w:styleId="ATesto">
    <w:name w:val="A_Testo"/>
    <w:basedOn w:val="Normale"/>
    <w:rsid w:val="002C4D68"/>
    <w:pPr>
      <w:autoSpaceDE w:val="0"/>
      <w:autoSpaceDN w:val="0"/>
      <w:adjustRightInd w:val="0"/>
      <w:spacing w:before="60"/>
      <w:jc w:val="both"/>
    </w:pPr>
    <w:rPr>
      <w:rFonts w:ascii="Calibri" w:eastAsia="Times New Roman" w:hAnsi="Calibri" w:cstheme="minorHAnsi"/>
      <w:color w:val="000000"/>
      <w:sz w:val="22"/>
      <w:szCs w:val="22"/>
    </w:rPr>
  </w:style>
  <w:style w:type="paragraph" w:customStyle="1" w:styleId="AArticolo">
    <w:name w:val="A_Articolo"/>
    <w:basedOn w:val="Normale"/>
    <w:rsid w:val="002C4D68"/>
    <w:pPr>
      <w:keepNext/>
      <w:autoSpaceDE w:val="0"/>
      <w:autoSpaceDN w:val="0"/>
      <w:adjustRightInd w:val="0"/>
      <w:spacing w:before="240"/>
      <w:jc w:val="center"/>
    </w:pPr>
    <w:rPr>
      <w:rFonts w:ascii="Calibri" w:eastAsia="Times New Roman" w:hAnsi="Calibri" w:cstheme="minorHAnsi"/>
      <w:b/>
      <w:bCs/>
      <w:color w:val="000000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4D68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00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F167E"/>
    <w:rPr>
      <w:color w:val="605E5C"/>
      <w:shd w:val="clear" w:color="auto" w:fill="E1DFDD"/>
    </w:rPr>
  </w:style>
  <w:style w:type="character" w:customStyle="1" w:styleId="iceouttxt">
    <w:name w:val="iceouttxt"/>
    <w:basedOn w:val="Carpredefinitoparagrafo"/>
    <w:rsid w:val="00C26D77"/>
  </w:style>
  <w:style w:type="paragraph" w:styleId="Paragrafoelenco">
    <w:name w:val="List Paragraph"/>
    <w:basedOn w:val="Normale"/>
    <w:uiPriority w:val="34"/>
    <w:qFormat/>
    <w:rsid w:val="00D92DE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B4B6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B4B60"/>
    <w:rPr>
      <w:rFonts w:eastAsiaTheme="minorHAnsi"/>
      <w:lang w:eastAsia="en-US"/>
    </w:rPr>
  </w:style>
  <w:style w:type="paragraph" w:customStyle="1" w:styleId="AElenco1">
    <w:name w:val="A_Elenco_1"/>
    <w:basedOn w:val="ATesto"/>
    <w:rsid w:val="00BB4B60"/>
    <w:pPr>
      <w:autoSpaceDE/>
      <w:autoSpaceDN/>
      <w:adjustRightInd/>
      <w:spacing w:line="264" w:lineRule="auto"/>
      <w:ind w:left="426" w:hanging="426"/>
    </w:pPr>
    <w:rPr>
      <w:rFonts w:eastAsia="Calibri" w:cs="Times New Roman"/>
      <w:color w:val="auto"/>
      <w:sz w:val="24"/>
      <w:szCs w:val="24"/>
      <w:lang w:eastAsia="it-IT"/>
    </w:rPr>
  </w:style>
  <w:style w:type="paragraph" w:customStyle="1" w:styleId="AElenco2">
    <w:name w:val="A_Elenco_2"/>
    <w:basedOn w:val="AElenco1"/>
    <w:rsid w:val="00BB4B60"/>
    <w:pPr>
      <w:ind w:left="709" w:hanging="284"/>
    </w:pPr>
  </w:style>
  <w:style w:type="paragraph" w:customStyle="1" w:styleId="ATestoTabella">
    <w:name w:val="A_TestoTabella"/>
    <w:basedOn w:val="ATesto"/>
    <w:rsid w:val="00BB4B60"/>
    <w:pPr>
      <w:autoSpaceDE/>
      <w:autoSpaceDN/>
      <w:adjustRightInd/>
      <w:spacing w:after="60" w:line="264" w:lineRule="auto"/>
      <w:jc w:val="left"/>
    </w:pPr>
    <w:rPr>
      <w:rFonts w:eastAsia="Calibri" w:cs="Times New Roman"/>
      <w:color w:val="auto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BB4B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ATestoVal">
    <w:name w:val="A_Testo_Val"/>
    <w:basedOn w:val="AElenco2"/>
    <w:rsid w:val="00BB4B60"/>
    <w:pPr>
      <w:ind w:left="284" w:right="566" w:firstLine="0"/>
    </w:pPr>
  </w:style>
  <w:style w:type="character" w:styleId="Numeropagina">
    <w:name w:val="page number"/>
    <w:basedOn w:val="Carpredefinitoparagrafo"/>
    <w:uiPriority w:val="99"/>
    <w:semiHidden/>
    <w:unhideWhenUsed/>
    <w:rsid w:val="00186268"/>
  </w:style>
  <w:style w:type="paragraph" w:styleId="Testonotaapidipagina">
    <w:name w:val="footnote text"/>
    <w:basedOn w:val="Normale"/>
    <w:link w:val="TestonotaapidipaginaCarattere"/>
    <w:uiPriority w:val="99"/>
    <w:unhideWhenUsed/>
    <w:rsid w:val="00DE7D16"/>
    <w:pPr>
      <w:spacing w:before="40"/>
    </w:pPr>
    <w:rPr>
      <w:rFonts w:ascii="Calibri" w:eastAsiaTheme="minorEastAsia" w:hAnsi="Calibri"/>
      <w:sz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7D16"/>
    <w:rPr>
      <w:rFonts w:ascii="Calibri" w:hAnsi="Calibri"/>
      <w:sz w:val="16"/>
    </w:rPr>
  </w:style>
  <w:style w:type="character" w:styleId="Rimandonotaapidipagina">
    <w:name w:val="footnote reference"/>
    <w:basedOn w:val="Carpredefinitoparagrafo"/>
    <w:uiPriority w:val="99"/>
    <w:unhideWhenUsed/>
    <w:rsid w:val="00DE7D16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DA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A66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A660B"/>
    <w:pPr>
      <w:spacing w:line="259" w:lineRule="auto"/>
      <w:outlineLvl w:val="9"/>
    </w:pPr>
    <w:rPr>
      <w:lang w:eastAsia="zh-TW"/>
    </w:rPr>
  </w:style>
  <w:style w:type="paragraph" w:styleId="Sommario1">
    <w:name w:val="toc 1"/>
    <w:basedOn w:val="Normale"/>
    <w:next w:val="Normale"/>
    <w:autoRedefine/>
    <w:uiPriority w:val="39"/>
    <w:unhideWhenUsed/>
    <w:rsid w:val="003A660B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92611"/>
    <w:pPr>
      <w:spacing w:after="100"/>
      <w:ind w:left="240"/>
    </w:pPr>
  </w:style>
  <w:style w:type="character" w:styleId="Rimandocommento">
    <w:name w:val="annotation reference"/>
    <w:basedOn w:val="Carpredefinitoparagrafo"/>
    <w:uiPriority w:val="99"/>
    <w:semiHidden/>
    <w:unhideWhenUsed/>
    <w:rsid w:val="006B25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B2579"/>
    <w:pPr>
      <w:spacing w:after="160"/>
    </w:pPr>
    <w:rPr>
      <w:sz w:val="20"/>
      <w:szCs w:val="20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B2579"/>
    <w:rPr>
      <w:rFonts w:eastAsiaTheme="minorHAnsi"/>
      <w:sz w:val="20"/>
      <w:szCs w:val="20"/>
      <w:lang w:eastAsia="en-US"/>
      <w14:ligatures w14:val="standardContextual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01C8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01C81"/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rsid w:val="00BE4297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4F8D"/>
    <w:pPr>
      <w:spacing w:after="0"/>
    </w:pPr>
    <w:rPr>
      <w:b/>
      <w:bCs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4F8D"/>
    <w:rPr>
      <w:rFonts w:eastAsiaTheme="minorHAnsi"/>
      <w:b/>
      <w:bCs/>
      <w:sz w:val="20"/>
      <w:szCs w:val="20"/>
      <w:lang w:eastAsia="en-US"/>
      <w14:ligatures w14:val="standardContextual"/>
    </w:rPr>
  </w:style>
  <w:style w:type="paragraph" w:styleId="Revisione">
    <w:name w:val="Revision"/>
    <w:hidden/>
    <w:uiPriority w:val="99"/>
    <w:semiHidden/>
    <w:rsid w:val="006A2146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446E589D4847A5302D3C0AC47A6C" ma:contentTypeVersion="12" ma:contentTypeDescription="Create a new document." ma:contentTypeScope="" ma:versionID="385181f8f17e8557178d331b3cfea72b">
  <xsd:schema xmlns:xsd="http://www.w3.org/2001/XMLSchema" xmlns:xs="http://www.w3.org/2001/XMLSchema" xmlns:p="http://schemas.microsoft.com/office/2006/metadata/properties" xmlns:ns2="deb23588-a261-4b88-80f0-4c416ed63704" xmlns:ns3="b8e0b071-25ec-4b63-a89d-2a366cb0258d" targetNamespace="http://schemas.microsoft.com/office/2006/metadata/properties" ma:root="true" ma:fieldsID="c4d32b8696d2b10ac3a5267a0e4dd846" ns2:_="" ns3:_="">
    <xsd:import namespace="deb23588-a261-4b88-80f0-4c416ed63704"/>
    <xsd:import namespace="b8e0b071-25ec-4b63-a89d-2a366cb02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23588-a261-4b88-80f0-4c416ed63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0b071-25ec-4b63-a89d-2a366cb02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77fe56-1ac8-46da-b5c2-9eeef7b750a3}" ma:internalName="TaxCatchAll" ma:showField="CatchAllData" ma:web="b8e0b071-25ec-4b63-a89d-2a366cb02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e0b071-25ec-4b63-a89d-2a366cb0258d" xsi:nil="true"/>
    <lcf76f155ced4ddcb4097134ff3c332f xmlns="deb23588-a261-4b88-80f0-4c416ed637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68A5A-A1BB-4741-896E-4F7CA0E72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23588-a261-4b88-80f0-4c416ed63704"/>
    <ds:schemaRef ds:uri="b8e0b071-25ec-4b63-a89d-2a366cb02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2A42E-AE12-4F16-80EA-892D9A194019}">
  <ds:schemaRefs>
    <ds:schemaRef ds:uri="http://schemas.microsoft.com/office/2006/metadata/properties"/>
    <ds:schemaRef ds:uri="http://schemas.microsoft.com/office/infopath/2007/PartnerControls"/>
    <ds:schemaRef ds:uri="b8e0b071-25ec-4b63-a89d-2a366cb0258d"/>
    <ds:schemaRef ds:uri="deb23588-a261-4b88-80f0-4c416ed63704"/>
  </ds:schemaRefs>
</ds:datastoreItem>
</file>

<file path=customXml/itemProps3.xml><?xml version="1.0" encoding="utf-8"?>
<ds:datastoreItem xmlns:ds="http://schemas.openxmlformats.org/officeDocument/2006/customXml" ds:itemID="{16B498A7-3378-4D2C-B651-34616F165E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9B283-4D6A-41D0-9A1F-5A091271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ROSA GRASSO</cp:lastModifiedBy>
  <cp:revision>2</cp:revision>
  <cp:lastPrinted>2023-10-26T00:18:00Z</cp:lastPrinted>
  <dcterms:created xsi:type="dcterms:W3CDTF">2025-10-10T07:33:00Z</dcterms:created>
  <dcterms:modified xsi:type="dcterms:W3CDTF">2025-10-10T07:33:00Z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2024-05-30T10:45:14Z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f4ba8bf1-e96b-47dc-8e8e-331f26549002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0x010100D420446E589D4847A5302D3C0AC47A6C</vt:lpwstr>
  </property>
  <property fmtid="{D5CDD505-2E9C-101B-9397-08002B2CF9AE}" pid="10" name="MediaServiceImageTags">
    <vt:lpwstr/>
  </property>
</Properties>
</file>