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C2DF9" w14:textId="77777777" w:rsidR="001D0F17" w:rsidRPr="003208A8" w:rsidRDefault="001D0F17" w:rsidP="001D0F17">
      <w:pPr>
        <w:autoSpaceDE w:val="0"/>
        <w:autoSpaceDN w:val="0"/>
        <w:adjustRightInd w:val="0"/>
        <w:jc w:val="center"/>
        <w:rPr>
          <w:rFonts w:ascii="Titillium Web" w:hAnsi="Titillium Web" w:cstheme="minorHAnsi"/>
          <w:b/>
          <w:color w:val="000000" w:themeColor="text1"/>
          <w:sz w:val="24"/>
          <w:szCs w:val="24"/>
          <w:lang w:val="en-US"/>
        </w:rPr>
      </w:pPr>
      <w:r w:rsidRPr="003208A8">
        <w:rPr>
          <w:rFonts w:ascii="Titillium Web" w:hAnsi="Titillium Web" w:cstheme="minorHAnsi"/>
          <w:b/>
          <w:color w:val="000000" w:themeColor="text1"/>
          <w:sz w:val="24"/>
          <w:szCs w:val="24"/>
          <w:lang w:val="en-US"/>
        </w:rPr>
        <w:t>National Research Centre for Agricultural Technologies - AGRITECH</w:t>
      </w:r>
    </w:p>
    <w:p w14:paraId="6E7C634D" w14:textId="77777777" w:rsidR="001D0F17" w:rsidRDefault="001D0F17" w:rsidP="001D0F17">
      <w:pPr>
        <w:autoSpaceDE w:val="0"/>
        <w:autoSpaceDN w:val="0"/>
        <w:adjustRightInd w:val="0"/>
        <w:jc w:val="center"/>
        <w:rPr>
          <w:rFonts w:ascii="Titillium Web" w:hAnsi="Titillium Web" w:cstheme="minorHAnsi"/>
          <w:color w:val="000000" w:themeColor="text1"/>
          <w:sz w:val="21"/>
          <w:szCs w:val="21"/>
        </w:rPr>
      </w:pPr>
      <w:r w:rsidRPr="003208A8">
        <w:rPr>
          <w:rFonts w:ascii="Titillium Web" w:hAnsi="Titillium Web" w:cstheme="minorHAnsi"/>
          <w:b/>
          <w:color w:val="000000" w:themeColor="text1"/>
          <w:sz w:val="21"/>
          <w:szCs w:val="21"/>
        </w:rPr>
        <w:t xml:space="preserve">Codice progetto MUR: </w:t>
      </w:r>
      <w:r w:rsidRPr="003208A8">
        <w:rPr>
          <w:rFonts w:ascii="Titillium Web" w:hAnsi="Titillium Web" w:cstheme="minorHAnsi"/>
          <w:color w:val="000000" w:themeColor="text1"/>
          <w:sz w:val="21"/>
          <w:szCs w:val="21"/>
        </w:rPr>
        <w:t>CN_00000022</w:t>
      </w:r>
      <w:r w:rsidRPr="003208A8">
        <w:rPr>
          <w:rFonts w:ascii="Titillium Web" w:hAnsi="Titillium Web" w:cstheme="minorHAnsi"/>
          <w:b/>
          <w:bCs/>
          <w:color w:val="000000" w:themeColor="text1"/>
          <w:sz w:val="21"/>
          <w:szCs w:val="21"/>
        </w:rPr>
        <w:t xml:space="preserve"> </w:t>
      </w:r>
      <w:r w:rsidRPr="003208A8">
        <w:rPr>
          <w:rFonts w:ascii="Titillium Web" w:hAnsi="Titillium Web" w:cstheme="minorHAnsi"/>
          <w:b/>
          <w:color w:val="000000" w:themeColor="text1"/>
          <w:sz w:val="21"/>
          <w:szCs w:val="21"/>
        </w:rPr>
        <w:t xml:space="preserve">CUP UNINA: </w:t>
      </w:r>
      <w:r w:rsidRPr="003208A8">
        <w:rPr>
          <w:rFonts w:ascii="Titillium Web" w:hAnsi="Titillium Web" w:cstheme="minorHAnsi"/>
          <w:color w:val="000000" w:themeColor="text1"/>
          <w:sz w:val="21"/>
          <w:szCs w:val="21"/>
        </w:rPr>
        <w:t>E63C22000920005</w:t>
      </w:r>
      <w:r w:rsidRPr="003208A8">
        <w:rPr>
          <w:rFonts w:ascii="Titillium Web" w:hAnsi="Titillium Web" w:cstheme="minorHAnsi"/>
          <w:b/>
          <w:bCs/>
          <w:color w:val="000000" w:themeColor="text1"/>
          <w:sz w:val="21"/>
          <w:szCs w:val="21"/>
        </w:rPr>
        <w:t xml:space="preserve"> </w:t>
      </w:r>
      <w:r w:rsidRPr="003208A8">
        <w:rPr>
          <w:rFonts w:ascii="Titillium Web" w:hAnsi="Titillium Web" w:cstheme="minorHAnsi"/>
          <w:b/>
          <w:color w:val="000000" w:themeColor="text1"/>
          <w:sz w:val="21"/>
          <w:szCs w:val="21"/>
        </w:rPr>
        <w:t xml:space="preserve">Missione: </w:t>
      </w:r>
      <w:r w:rsidRPr="003208A8">
        <w:rPr>
          <w:rFonts w:ascii="Titillium Web" w:hAnsi="Titillium Web" w:cstheme="minorHAnsi"/>
          <w:color w:val="000000" w:themeColor="text1"/>
          <w:sz w:val="21"/>
          <w:szCs w:val="21"/>
        </w:rPr>
        <w:t>4</w:t>
      </w:r>
      <w:r w:rsidRPr="003208A8">
        <w:rPr>
          <w:rFonts w:ascii="Titillium Web" w:hAnsi="Titillium Web" w:cstheme="minorHAnsi"/>
          <w:b/>
          <w:color w:val="000000" w:themeColor="text1"/>
          <w:sz w:val="21"/>
          <w:szCs w:val="21"/>
        </w:rPr>
        <w:t xml:space="preserve"> Componente: </w:t>
      </w:r>
      <w:r w:rsidRPr="003208A8">
        <w:rPr>
          <w:rFonts w:ascii="Titillium Web" w:hAnsi="Titillium Web" w:cstheme="minorHAnsi"/>
          <w:color w:val="000000" w:themeColor="text1"/>
          <w:sz w:val="21"/>
          <w:szCs w:val="21"/>
        </w:rPr>
        <w:t>2</w:t>
      </w:r>
      <w:r w:rsidRPr="003208A8">
        <w:rPr>
          <w:rFonts w:ascii="Titillium Web" w:hAnsi="Titillium Web" w:cstheme="minorHAnsi"/>
          <w:b/>
          <w:color w:val="000000" w:themeColor="text1"/>
          <w:sz w:val="21"/>
          <w:szCs w:val="21"/>
        </w:rPr>
        <w:t xml:space="preserve"> Investimento: </w:t>
      </w:r>
      <w:r w:rsidRPr="003208A8">
        <w:rPr>
          <w:rFonts w:ascii="Titillium Web" w:hAnsi="Titillium Web" w:cstheme="minorHAnsi"/>
          <w:color w:val="000000" w:themeColor="text1"/>
          <w:sz w:val="21"/>
          <w:szCs w:val="21"/>
        </w:rPr>
        <w:t>1.4</w:t>
      </w:r>
    </w:p>
    <w:p w14:paraId="32BDC6D7" w14:textId="77777777" w:rsidR="00453B8B" w:rsidRPr="003208A8" w:rsidRDefault="00453B8B" w:rsidP="001D0F17">
      <w:pPr>
        <w:autoSpaceDE w:val="0"/>
        <w:autoSpaceDN w:val="0"/>
        <w:adjustRightInd w:val="0"/>
        <w:jc w:val="center"/>
        <w:rPr>
          <w:rFonts w:ascii="Titillium Web" w:hAnsi="Titillium Web" w:cstheme="minorHAnsi"/>
          <w:color w:val="000000" w:themeColor="text1"/>
          <w:sz w:val="21"/>
          <w:szCs w:val="21"/>
        </w:rPr>
      </w:pPr>
    </w:p>
    <w:p w14:paraId="65F1BCF4" w14:textId="30B42CA3" w:rsidR="008757F1" w:rsidRDefault="00453B8B" w:rsidP="00453B8B">
      <w:pPr>
        <w:autoSpaceDE w:val="0"/>
        <w:autoSpaceDN w:val="0"/>
        <w:adjustRightInd w:val="0"/>
        <w:jc w:val="center"/>
        <w:rPr>
          <w:rFonts w:ascii="Titillium Web" w:hAnsi="Titillium Web" w:cstheme="minorHAnsi"/>
          <w:b/>
          <w:bCs/>
          <w:color w:val="000000" w:themeColor="text1"/>
          <w:sz w:val="24"/>
          <w:szCs w:val="24"/>
        </w:rPr>
      </w:pPr>
      <w:r w:rsidRPr="00453B8B">
        <w:rPr>
          <w:rFonts w:ascii="Titillium Web" w:hAnsi="Titillium Web" w:cstheme="minorHAnsi"/>
          <w:b/>
          <w:bCs/>
          <w:color w:val="000000" w:themeColor="text1"/>
          <w:sz w:val="24"/>
          <w:szCs w:val="24"/>
        </w:rPr>
        <w:t>SCHEMA DI CONTRATTO</w:t>
      </w:r>
    </w:p>
    <w:p w14:paraId="57D0945B" w14:textId="77777777" w:rsidR="00672FE3" w:rsidRPr="00672FE3" w:rsidRDefault="00B41057" w:rsidP="00B41057">
      <w:pPr>
        <w:spacing w:line="360" w:lineRule="exact"/>
        <w:jc w:val="both"/>
        <w:rPr>
          <w:rFonts w:ascii="Titillium Web" w:hAnsi="Titillium Web"/>
          <w:b/>
          <w:bCs/>
          <w:sz w:val="24"/>
          <w:szCs w:val="24"/>
        </w:rPr>
      </w:pPr>
      <w:r w:rsidRPr="00672FE3">
        <w:rPr>
          <w:rFonts w:ascii="Titillium Web" w:hAnsi="Titillium Web"/>
          <w:b/>
          <w:bCs/>
          <w:sz w:val="24"/>
          <w:szCs w:val="24"/>
        </w:rPr>
        <w:t>PER L’AFFIDAMENTO DELL’APPALTO DI FORNITURA DI UNA “</w:t>
      </w:r>
      <w:bookmarkStart w:id="0" w:name="_Hlk147933345"/>
      <w:r w:rsidR="00672FE3" w:rsidRPr="00672FE3">
        <w:rPr>
          <w:rFonts w:ascii="Titillium Web" w:hAnsi="Titillium Web" w:cstheme="minorHAnsi"/>
          <w:b/>
          <w:bCs/>
          <w:color w:val="000000" w:themeColor="text1"/>
          <w:sz w:val="24"/>
          <w:szCs w:val="24"/>
        </w:rPr>
        <w:t>PIATTAFORMA DI ECOTRONI (MICROCOSMI) COMPRENSIVA DI N. 5 UNITÀ, INCLUSO IL SERVIZIO DI ASSISTENZA</w:t>
      </w:r>
      <w:bookmarkStart w:id="1" w:name="_Hlk136956438"/>
      <w:bookmarkEnd w:id="0"/>
      <w:r w:rsidR="00672FE3" w:rsidRPr="00672FE3">
        <w:rPr>
          <w:rFonts w:ascii="Titillium Web" w:hAnsi="Titillium Web"/>
          <w:b/>
          <w:bCs/>
          <w:i/>
          <w:iCs/>
          <w:sz w:val="24"/>
          <w:szCs w:val="24"/>
        </w:rPr>
        <w:t xml:space="preserve">”, </w:t>
      </w:r>
      <w:r w:rsidR="00672FE3" w:rsidRPr="00672FE3">
        <w:rPr>
          <w:rFonts w:ascii="Titillium Web" w:hAnsi="Titillium Web"/>
          <w:b/>
          <w:bCs/>
          <w:sz w:val="24"/>
          <w:szCs w:val="24"/>
        </w:rPr>
        <w:t>NECESSARIA</w:t>
      </w:r>
      <w:r w:rsidRPr="00672FE3">
        <w:rPr>
          <w:rFonts w:ascii="Titillium Web" w:hAnsi="Titillium Web"/>
          <w:b/>
          <w:bCs/>
          <w:sz w:val="24"/>
          <w:szCs w:val="24"/>
        </w:rPr>
        <w:t xml:space="preserve"> PER L’ATTUAZIONE DEL PROGRAMMA DI RICERCA DEL CENTRO </w:t>
      </w:r>
      <w:r w:rsidR="009366E0" w:rsidRPr="00672FE3">
        <w:rPr>
          <w:rFonts w:ascii="Titillium Web" w:hAnsi="Titillium Web"/>
          <w:b/>
          <w:bCs/>
          <w:sz w:val="24"/>
          <w:szCs w:val="24"/>
        </w:rPr>
        <w:t>NAZIONALE DI RICERCA PER LE TECNOLOGIE DELL’AGRICOLTURA (AGRITECH)</w:t>
      </w:r>
      <w:r w:rsidRPr="00672FE3">
        <w:rPr>
          <w:rFonts w:ascii="Titillium Web" w:hAnsi="Titillium Web"/>
          <w:b/>
          <w:bCs/>
          <w:sz w:val="24"/>
          <w:szCs w:val="24"/>
        </w:rPr>
        <w:t xml:space="preserve">. </w:t>
      </w:r>
    </w:p>
    <w:p w14:paraId="5AF2822E" w14:textId="5BED6898" w:rsidR="00B41057" w:rsidRPr="00975979" w:rsidRDefault="00B41057" w:rsidP="00B41057">
      <w:pPr>
        <w:spacing w:line="360" w:lineRule="exact"/>
        <w:jc w:val="both"/>
        <w:rPr>
          <w:rFonts w:ascii="Titillium Web" w:hAnsi="Titillium Web"/>
          <w:b/>
          <w:bCs/>
          <w:sz w:val="22"/>
          <w:szCs w:val="22"/>
        </w:rPr>
      </w:pPr>
      <w:r w:rsidRPr="00975979">
        <w:rPr>
          <w:rFonts w:ascii="Titillium Web" w:hAnsi="Titillium Web"/>
          <w:b/>
          <w:bCs/>
          <w:sz w:val="22"/>
          <w:szCs w:val="22"/>
        </w:rPr>
        <w:t xml:space="preserve">CUP E63C22000920005 CIG </w:t>
      </w:r>
      <w:r w:rsidR="00D32BC2" w:rsidRPr="00D32BC2">
        <w:rPr>
          <w:rFonts w:ascii="Titillium Web" w:hAnsi="Titillium Web"/>
          <w:b/>
          <w:bCs/>
          <w:sz w:val="22"/>
          <w:szCs w:val="22"/>
        </w:rPr>
        <w:t>A02360BDD9</w:t>
      </w:r>
      <w:r w:rsidRPr="00975979">
        <w:rPr>
          <w:rFonts w:ascii="Titillium Web" w:hAnsi="Titillium Web"/>
          <w:b/>
          <w:bCs/>
          <w:sz w:val="22"/>
          <w:szCs w:val="22"/>
        </w:rPr>
        <w:t xml:space="preserve"> CUI </w:t>
      </w:r>
      <w:r w:rsidR="00672FE3" w:rsidRPr="00975979">
        <w:rPr>
          <w:rFonts w:ascii="Titillium Web" w:hAnsi="Titillium Web"/>
          <w:b/>
          <w:bCs/>
          <w:sz w:val="22"/>
          <w:szCs w:val="22"/>
        </w:rPr>
        <w:t>F00876220633202300060</w:t>
      </w:r>
    </w:p>
    <w:bookmarkEnd w:id="1"/>
    <w:p w14:paraId="534E063D" w14:textId="77777777" w:rsidR="00453B8B" w:rsidRPr="00453B8B" w:rsidRDefault="00453B8B" w:rsidP="00453B8B">
      <w:pPr>
        <w:autoSpaceDE w:val="0"/>
        <w:autoSpaceDN w:val="0"/>
        <w:adjustRightInd w:val="0"/>
        <w:jc w:val="center"/>
        <w:rPr>
          <w:rFonts w:ascii="Titillium Web" w:hAnsi="Titillium Web" w:cstheme="minorHAnsi"/>
          <w:color w:val="000000" w:themeColor="text1"/>
          <w:sz w:val="22"/>
          <w:szCs w:val="22"/>
        </w:rPr>
      </w:pPr>
    </w:p>
    <w:p w14:paraId="6C35F369" w14:textId="77777777" w:rsidR="00453B8B" w:rsidRPr="00453B8B" w:rsidRDefault="00453B8B" w:rsidP="00453B8B">
      <w:pPr>
        <w:autoSpaceDE w:val="0"/>
        <w:autoSpaceDN w:val="0"/>
        <w:adjustRightInd w:val="0"/>
        <w:jc w:val="center"/>
        <w:rPr>
          <w:rFonts w:ascii="Titillium Web" w:hAnsi="Titillium Web" w:cstheme="minorHAnsi"/>
          <w:b/>
          <w:bCs/>
          <w:color w:val="000000" w:themeColor="text1"/>
          <w:sz w:val="22"/>
          <w:szCs w:val="22"/>
        </w:rPr>
      </w:pPr>
      <w:r w:rsidRPr="00453B8B">
        <w:rPr>
          <w:rFonts w:ascii="Titillium Web" w:hAnsi="Titillium Web" w:cstheme="minorHAnsi"/>
          <w:b/>
          <w:bCs/>
          <w:color w:val="000000" w:themeColor="text1"/>
          <w:sz w:val="22"/>
          <w:szCs w:val="22"/>
        </w:rPr>
        <w:t>TRA</w:t>
      </w:r>
    </w:p>
    <w:p w14:paraId="6CC7FA34" w14:textId="69EB9468" w:rsidR="00453B8B" w:rsidRPr="00453B8B" w:rsidRDefault="009366E0" w:rsidP="00453B8B">
      <w:pPr>
        <w:autoSpaceDE w:val="0"/>
        <w:autoSpaceDN w:val="0"/>
        <w:adjustRightInd w:val="0"/>
        <w:jc w:val="both"/>
        <w:rPr>
          <w:rFonts w:ascii="Titillium Web" w:hAnsi="Titillium Web" w:cstheme="minorHAnsi"/>
          <w:color w:val="000000" w:themeColor="text1"/>
          <w:sz w:val="22"/>
          <w:szCs w:val="22"/>
        </w:rPr>
      </w:pPr>
      <w:r>
        <w:rPr>
          <w:rFonts w:ascii="Titillium Web" w:hAnsi="Titillium Web" w:cstheme="minorHAnsi"/>
          <w:color w:val="000000" w:themeColor="text1"/>
          <w:sz w:val="22"/>
          <w:szCs w:val="22"/>
        </w:rPr>
        <w:t xml:space="preserve">Dipartimento di Agraria - </w:t>
      </w:r>
      <w:r w:rsidR="00453B8B" w:rsidRPr="00453B8B">
        <w:rPr>
          <w:rFonts w:ascii="Titillium Web" w:hAnsi="Titillium Web" w:cstheme="minorHAnsi"/>
          <w:color w:val="000000" w:themeColor="text1"/>
          <w:sz w:val="22"/>
          <w:szCs w:val="22"/>
        </w:rPr>
        <w:t>Università degli Studi di Napoli Federico II (c.f.</w:t>
      </w:r>
      <w:r w:rsidR="003D5F2C">
        <w:rPr>
          <w:rFonts w:ascii="Titillium Web" w:hAnsi="Titillium Web" w:cstheme="minorHAnsi"/>
          <w:color w:val="000000" w:themeColor="text1"/>
          <w:sz w:val="22"/>
          <w:szCs w:val="22"/>
        </w:rPr>
        <w:t xml:space="preserve"> </w:t>
      </w:r>
      <w:r w:rsidR="003D5F2C" w:rsidRPr="003D5F2C">
        <w:rPr>
          <w:rFonts w:ascii="Titillium Web" w:hAnsi="Titillium Web" w:cstheme="minorHAnsi"/>
          <w:color w:val="000000" w:themeColor="text1"/>
          <w:sz w:val="22"/>
          <w:szCs w:val="22"/>
        </w:rPr>
        <w:t>00876220633</w:t>
      </w:r>
      <w:r w:rsidR="00453B8B" w:rsidRPr="00453B8B">
        <w:rPr>
          <w:rFonts w:ascii="Titillium Web" w:hAnsi="Titillium Web" w:cstheme="minorHAnsi"/>
          <w:color w:val="000000" w:themeColor="text1"/>
          <w:sz w:val="22"/>
          <w:szCs w:val="22"/>
        </w:rPr>
        <w:t>), con sede</w:t>
      </w:r>
      <w:r w:rsidR="003D5F2C">
        <w:rPr>
          <w:rFonts w:ascii="Titillium Web" w:hAnsi="Titillium Web" w:cstheme="minorHAnsi"/>
          <w:color w:val="000000" w:themeColor="text1"/>
          <w:sz w:val="22"/>
          <w:szCs w:val="22"/>
        </w:rPr>
        <w:t xml:space="preserve"> legale in</w:t>
      </w:r>
      <w:r w:rsidR="00453B8B" w:rsidRPr="00453B8B">
        <w:rPr>
          <w:rFonts w:ascii="Titillium Web" w:hAnsi="Titillium Web" w:cstheme="minorHAnsi"/>
          <w:color w:val="000000" w:themeColor="text1"/>
          <w:sz w:val="22"/>
          <w:szCs w:val="22"/>
        </w:rPr>
        <w:t xml:space="preserve"> </w:t>
      </w:r>
      <w:r w:rsidR="00984BB9">
        <w:rPr>
          <w:rFonts w:ascii="Titillium Web" w:hAnsi="Titillium Web" w:cstheme="minorHAnsi"/>
          <w:color w:val="000000" w:themeColor="text1"/>
          <w:sz w:val="22"/>
          <w:szCs w:val="22"/>
        </w:rPr>
        <w:t>Portici (Napoli)</w:t>
      </w:r>
      <w:r w:rsidR="00453B8B" w:rsidRPr="00453B8B">
        <w:rPr>
          <w:rFonts w:ascii="Titillium Web" w:hAnsi="Titillium Web" w:cstheme="minorHAnsi"/>
          <w:color w:val="000000" w:themeColor="text1"/>
          <w:sz w:val="22"/>
          <w:szCs w:val="22"/>
        </w:rPr>
        <w:t xml:space="preserve"> </w:t>
      </w:r>
      <w:r w:rsidR="00022590" w:rsidRPr="00022590">
        <w:rPr>
          <w:rFonts w:ascii="Titillium Web" w:hAnsi="Titillium Web" w:cstheme="minorHAnsi"/>
          <w:color w:val="000000" w:themeColor="text1"/>
          <w:sz w:val="22"/>
          <w:szCs w:val="22"/>
        </w:rPr>
        <w:t>piazza Carlo di Borbone</w:t>
      </w:r>
      <w:r w:rsidR="00453B8B" w:rsidRPr="00453B8B">
        <w:rPr>
          <w:rFonts w:ascii="Titillium Web" w:hAnsi="Titillium Web" w:cstheme="minorHAnsi"/>
          <w:color w:val="000000" w:themeColor="text1"/>
          <w:sz w:val="22"/>
          <w:szCs w:val="22"/>
        </w:rPr>
        <w:t xml:space="preserve">, </w:t>
      </w:r>
      <w:r w:rsidR="00022590">
        <w:rPr>
          <w:rFonts w:ascii="Titillium Web" w:hAnsi="Titillium Web" w:cstheme="minorHAnsi"/>
          <w:color w:val="000000" w:themeColor="text1"/>
          <w:sz w:val="22"/>
          <w:szCs w:val="22"/>
        </w:rPr>
        <w:t xml:space="preserve">n. 1, </w:t>
      </w:r>
      <w:r w:rsidR="00453B8B" w:rsidRPr="00453B8B">
        <w:rPr>
          <w:rFonts w:ascii="Titillium Web" w:hAnsi="Titillium Web" w:cstheme="minorHAnsi"/>
          <w:color w:val="000000" w:themeColor="text1"/>
          <w:sz w:val="22"/>
          <w:szCs w:val="22"/>
        </w:rPr>
        <w:t xml:space="preserve">rappresentata nel presente atto </w:t>
      </w:r>
      <w:r w:rsidR="007947ED" w:rsidRPr="007947ED">
        <w:rPr>
          <w:rFonts w:ascii="Titillium Web" w:hAnsi="Titillium Web" w:cstheme="minorHAnsi"/>
          <w:color w:val="000000" w:themeColor="text1"/>
          <w:sz w:val="22"/>
          <w:szCs w:val="22"/>
        </w:rPr>
        <w:t xml:space="preserve">dal Direttore del </w:t>
      </w:r>
      <w:proofErr w:type="gramStart"/>
      <w:r w:rsidR="007947ED" w:rsidRPr="007947ED">
        <w:rPr>
          <w:rFonts w:ascii="Titillium Web" w:hAnsi="Titillium Web" w:cstheme="minorHAnsi"/>
          <w:color w:val="000000" w:themeColor="text1"/>
          <w:sz w:val="22"/>
          <w:szCs w:val="22"/>
        </w:rPr>
        <w:t>Dipartimento  p.t.</w:t>
      </w:r>
      <w:proofErr w:type="gramEnd"/>
      <w:r w:rsidR="007947ED" w:rsidRPr="007947ED">
        <w:rPr>
          <w:rFonts w:ascii="Titillium Web" w:hAnsi="Titillium Web" w:cstheme="minorHAnsi"/>
          <w:color w:val="000000" w:themeColor="text1"/>
          <w:sz w:val="22"/>
          <w:szCs w:val="22"/>
        </w:rPr>
        <w:t xml:space="preserve"> Prof. Danilo Ercolini </w:t>
      </w:r>
      <w:r w:rsidR="00453B8B" w:rsidRPr="00453B8B">
        <w:rPr>
          <w:rFonts w:ascii="Titillium Web" w:hAnsi="Titillium Web" w:cstheme="minorHAnsi"/>
          <w:color w:val="000000" w:themeColor="text1"/>
          <w:sz w:val="22"/>
          <w:szCs w:val="22"/>
        </w:rPr>
        <w:t xml:space="preserve">(di seguito chiamata, per brevità, anche “Stazione Appaltante”); </w:t>
      </w:r>
    </w:p>
    <w:p w14:paraId="4ED69A65" w14:textId="77777777" w:rsidR="00453B8B" w:rsidRPr="009366E0" w:rsidRDefault="00453B8B" w:rsidP="009366E0">
      <w:pPr>
        <w:autoSpaceDE w:val="0"/>
        <w:autoSpaceDN w:val="0"/>
        <w:adjustRightInd w:val="0"/>
        <w:jc w:val="center"/>
        <w:rPr>
          <w:rFonts w:ascii="Titillium Web" w:hAnsi="Titillium Web" w:cstheme="minorHAnsi"/>
          <w:b/>
          <w:bCs/>
          <w:color w:val="000000" w:themeColor="text1"/>
          <w:sz w:val="22"/>
          <w:szCs w:val="22"/>
        </w:rPr>
      </w:pPr>
      <w:r w:rsidRPr="009366E0">
        <w:rPr>
          <w:rFonts w:ascii="Titillium Web" w:hAnsi="Titillium Web" w:cstheme="minorHAnsi"/>
          <w:b/>
          <w:bCs/>
          <w:color w:val="000000" w:themeColor="text1"/>
          <w:sz w:val="22"/>
          <w:szCs w:val="22"/>
        </w:rPr>
        <w:t>E</w:t>
      </w:r>
    </w:p>
    <w:p w14:paraId="19EDF820" w14:textId="77777777" w:rsidR="00453B8B" w:rsidRPr="00453B8B" w:rsidRDefault="00453B8B" w:rsidP="00453B8B">
      <w:pPr>
        <w:autoSpaceDE w:val="0"/>
        <w:autoSpaceDN w:val="0"/>
        <w:adjustRightInd w:val="0"/>
        <w:jc w:val="both"/>
        <w:rPr>
          <w:rFonts w:ascii="Titillium Web" w:hAnsi="Titillium Web" w:cstheme="minorHAnsi"/>
          <w:color w:val="000000" w:themeColor="text1"/>
          <w:sz w:val="22"/>
          <w:szCs w:val="22"/>
        </w:rPr>
      </w:pPr>
      <w:r w:rsidRPr="00453B8B">
        <w:rPr>
          <w:rFonts w:ascii="Titillium Web" w:hAnsi="Titillium Web" w:cstheme="minorHAnsi"/>
          <w:color w:val="000000" w:themeColor="text1"/>
          <w:sz w:val="22"/>
          <w:szCs w:val="22"/>
        </w:rPr>
        <w:t xml:space="preserve">_____ (c.f. e </w:t>
      </w:r>
      <w:proofErr w:type="spellStart"/>
      <w:r w:rsidRPr="00453B8B">
        <w:rPr>
          <w:rFonts w:ascii="Titillium Web" w:hAnsi="Titillium Web" w:cstheme="minorHAnsi"/>
          <w:color w:val="000000" w:themeColor="text1"/>
          <w:sz w:val="22"/>
          <w:szCs w:val="22"/>
        </w:rPr>
        <w:t>p.iva</w:t>
      </w:r>
      <w:proofErr w:type="spellEnd"/>
      <w:r w:rsidRPr="00453B8B">
        <w:rPr>
          <w:rFonts w:ascii="Titillium Web" w:hAnsi="Titillium Web" w:cstheme="minorHAnsi"/>
          <w:color w:val="000000" w:themeColor="text1"/>
          <w:sz w:val="22"/>
          <w:szCs w:val="22"/>
        </w:rPr>
        <w:t>. ___), con sede in ___, alla Via ___ n. ___, rappresentata nel presente atto dal dott./dott.ssa ______, [eventuale] in qualità di Mandataria del Raggruppamento Temporaneo di Imprese con le imprese _____ (di seguito chiamata, per brevità, anche “Appaltatore o Fornitore”)</w:t>
      </w:r>
    </w:p>
    <w:p w14:paraId="59549886" w14:textId="77777777" w:rsidR="00453B8B" w:rsidRPr="00453B8B" w:rsidRDefault="00453B8B" w:rsidP="00453B8B">
      <w:pPr>
        <w:autoSpaceDE w:val="0"/>
        <w:autoSpaceDN w:val="0"/>
        <w:adjustRightInd w:val="0"/>
        <w:jc w:val="both"/>
        <w:rPr>
          <w:rFonts w:ascii="Titillium Web" w:hAnsi="Titillium Web" w:cstheme="minorHAnsi"/>
          <w:color w:val="000000" w:themeColor="text1"/>
          <w:sz w:val="22"/>
          <w:szCs w:val="22"/>
        </w:rPr>
      </w:pPr>
      <w:r w:rsidRPr="00453B8B">
        <w:rPr>
          <w:rFonts w:ascii="Titillium Web" w:hAnsi="Titillium Web" w:cstheme="minorHAnsi"/>
          <w:color w:val="000000" w:themeColor="text1"/>
          <w:sz w:val="22"/>
          <w:szCs w:val="22"/>
        </w:rPr>
        <w:t>Stazione appaltante e Appaltatore sono pure nel seguito denominati congiuntamente come “Parti” e, ciascuno singolarmente, come “Parte”.</w:t>
      </w:r>
    </w:p>
    <w:p w14:paraId="1D6C2FAA" w14:textId="77777777" w:rsidR="00453B8B" w:rsidRPr="00832D75" w:rsidRDefault="00453B8B" w:rsidP="00832D75">
      <w:pPr>
        <w:autoSpaceDE w:val="0"/>
        <w:autoSpaceDN w:val="0"/>
        <w:adjustRightInd w:val="0"/>
        <w:jc w:val="center"/>
        <w:rPr>
          <w:rFonts w:ascii="Titillium Web" w:hAnsi="Titillium Web" w:cstheme="minorHAnsi"/>
          <w:b/>
          <w:bCs/>
          <w:color w:val="000000" w:themeColor="text1"/>
          <w:sz w:val="22"/>
          <w:szCs w:val="22"/>
        </w:rPr>
      </w:pPr>
      <w:r w:rsidRPr="00832D75">
        <w:rPr>
          <w:rFonts w:ascii="Titillium Web" w:hAnsi="Titillium Web" w:cstheme="minorHAnsi"/>
          <w:b/>
          <w:bCs/>
          <w:color w:val="000000" w:themeColor="text1"/>
          <w:sz w:val="22"/>
          <w:szCs w:val="22"/>
        </w:rPr>
        <w:t>***</w:t>
      </w:r>
    </w:p>
    <w:p w14:paraId="5A6D3E36" w14:textId="77777777" w:rsidR="00453B8B" w:rsidRPr="00BC2909" w:rsidRDefault="00453B8B" w:rsidP="00BC2909">
      <w:pPr>
        <w:autoSpaceDE w:val="0"/>
        <w:autoSpaceDN w:val="0"/>
        <w:adjustRightInd w:val="0"/>
        <w:jc w:val="center"/>
        <w:rPr>
          <w:rFonts w:ascii="Titillium Web" w:hAnsi="Titillium Web" w:cstheme="minorHAnsi"/>
          <w:b/>
          <w:bCs/>
          <w:color w:val="000000" w:themeColor="text1"/>
          <w:sz w:val="22"/>
          <w:szCs w:val="22"/>
        </w:rPr>
      </w:pPr>
      <w:r w:rsidRPr="00BC2909">
        <w:rPr>
          <w:rFonts w:ascii="Titillium Web" w:hAnsi="Titillium Web" w:cstheme="minorHAnsi"/>
          <w:b/>
          <w:bCs/>
          <w:color w:val="000000" w:themeColor="text1"/>
          <w:sz w:val="22"/>
          <w:szCs w:val="22"/>
        </w:rPr>
        <w:t>Premesso che:</w:t>
      </w:r>
    </w:p>
    <w:p w14:paraId="2BF872F6" w14:textId="0BCF7BC1" w:rsidR="00453B8B" w:rsidRPr="00BC2909" w:rsidRDefault="00453B8B" w:rsidP="00BC2909">
      <w:pPr>
        <w:pStyle w:val="Paragrafoelenco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tillium Web" w:hAnsi="Titillium Web" w:cstheme="minorHAnsi"/>
          <w:color w:val="000000" w:themeColor="text1"/>
          <w:sz w:val="22"/>
          <w:szCs w:val="22"/>
        </w:rPr>
      </w:pPr>
      <w:r w:rsidRPr="00BC2909">
        <w:rPr>
          <w:rFonts w:ascii="Titillium Web" w:hAnsi="Titillium Web" w:cstheme="minorHAnsi"/>
          <w:color w:val="000000" w:themeColor="text1"/>
          <w:sz w:val="22"/>
          <w:szCs w:val="22"/>
        </w:rPr>
        <w:t xml:space="preserve">con determina a contrarre n. </w:t>
      </w:r>
      <w:r w:rsidR="007947ED">
        <w:rPr>
          <w:rFonts w:ascii="Titillium Web" w:hAnsi="Titillium Web" w:cstheme="minorHAnsi"/>
          <w:color w:val="000000" w:themeColor="text1"/>
          <w:sz w:val="22"/>
          <w:szCs w:val="22"/>
        </w:rPr>
        <w:t>555</w:t>
      </w:r>
      <w:r w:rsidRPr="00BC2909">
        <w:rPr>
          <w:rFonts w:ascii="Titillium Web" w:hAnsi="Titillium Web" w:cstheme="minorHAnsi"/>
          <w:color w:val="000000" w:themeColor="text1"/>
          <w:sz w:val="22"/>
          <w:szCs w:val="22"/>
        </w:rPr>
        <w:t xml:space="preserve"> del </w:t>
      </w:r>
      <w:r w:rsidR="007947ED">
        <w:rPr>
          <w:rFonts w:ascii="Titillium Web" w:hAnsi="Titillium Web" w:cstheme="minorHAnsi"/>
          <w:color w:val="000000" w:themeColor="text1"/>
          <w:sz w:val="22"/>
          <w:szCs w:val="22"/>
        </w:rPr>
        <w:t>27.10.2023,</w:t>
      </w:r>
      <w:r w:rsidRPr="00BC2909">
        <w:rPr>
          <w:rFonts w:ascii="Titillium Web" w:hAnsi="Titillium Web" w:cstheme="minorHAnsi"/>
          <w:color w:val="000000" w:themeColor="text1"/>
          <w:sz w:val="22"/>
          <w:szCs w:val="22"/>
        </w:rPr>
        <w:t xml:space="preserve"> il </w:t>
      </w:r>
      <w:r w:rsidR="008757F1" w:rsidRPr="008757F1">
        <w:rPr>
          <w:rFonts w:ascii="Titillium Web" w:hAnsi="Titillium Web" w:cstheme="minorHAnsi"/>
          <w:color w:val="000000" w:themeColor="text1"/>
          <w:sz w:val="22"/>
          <w:szCs w:val="22"/>
        </w:rPr>
        <w:t>D</w:t>
      </w:r>
      <w:r w:rsidRPr="008757F1">
        <w:rPr>
          <w:rFonts w:ascii="Titillium Web" w:hAnsi="Titillium Web" w:cstheme="minorHAnsi"/>
          <w:color w:val="000000" w:themeColor="text1"/>
          <w:sz w:val="22"/>
          <w:szCs w:val="22"/>
        </w:rPr>
        <w:t>irettore</w:t>
      </w:r>
      <w:r w:rsidRPr="00BC2909">
        <w:rPr>
          <w:rFonts w:ascii="Titillium Web" w:hAnsi="Titillium Web" w:cstheme="minorHAnsi"/>
          <w:color w:val="000000" w:themeColor="text1"/>
          <w:sz w:val="22"/>
          <w:szCs w:val="22"/>
        </w:rPr>
        <w:t xml:space="preserve"> disponeva l’indizione di una procedura aperta ai sensi dell’art. 71 D.lgs. 36/2023 per l’affidamento dell’appalto di fornitura di una “</w:t>
      </w:r>
      <w:r w:rsidR="00672FE3" w:rsidRPr="00672FE3">
        <w:rPr>
          <w:rFonts w:ascii="Titillium Web" w:hAnsi="Titillium Web" w:cstheme="minorHAnsi"/>
          <w:i/>
          <w:iCs/>
          <w:color w:val="000000" w:themeColor="text1"/>
          <w:sz w:val="22"/>
          <w:szCs w:val="22"/>
        </w:rPr>
        <w:t>PIATTAFORMA DI ECOTRONI (MICROCOSMI) COMPRENSIVA DI N. 5 UNITÀ, INCLUSO IL SERVIZIO DI ASSISTENZA</w:t>
      </w:r>
      <w:r w:rsidRPr="00BC2909">
        <w:rPr>
          <w:rFonts w:ascii="Titillium Web" w:hAnsi="Titillium Web" w:cstheme="minorHAnsi"/>
          <w:color w:val="000000" w:themeColor="text1"/>
          <w:sz w:val="22"/>
          <w:szCs w:val="22"/>
        </w:rPr>
        <w:t>”,  necessari</w:t>
      </w:r>
      <w:r w:rsidR="008757F1">
        <w:rPr>
          <w:rFonts w:ascii="Titillium Web" w:hAnsi="Titillium Web" w:cstheme="minorHAnsi"/>
          <w:color w:val="000000" w:themeColor="text1"/>
          <w:sz w:val="22"/>
          <w:szCs w:val="22"/>
        </w:rPr>
        <w:t>a</w:t>
      </w:r>
      <w:r w:rsidRPr="00BC2909">
        <w:rPr>
          <w:rFonts w:ascii="Titillium Web" w:hAnsi="Titillium Web" w:cstheme="minorHAnsi"/>
          <w:color w:val="000000" w:themeColor="text1"/>
          <w:sz w:val="22"/>
          <w:szCs w:val="22"/>
        </w:rPr>
        <w:t xml:space="preserve"> per lo svolgimento ed esecuzione delle attività di ricerca previste dal Programma di Ricerca del Centro Nazionale</w:t>
      </w:r>
      <w:r w:rsidR="00BC2909">
        <w:rPr>
          <w:rFonts w:ascii="Titillium Web" w:hAnsi="Titillium Web" w:cstheme="minorHAnsi"/>
          <w:color w:val="000000" w:themeColor="text1"/>
          <w:sz w:val="22"/>
          <w:szCs w:val="22"/>
        </w:rPr>
        <w:t xml:space="preserve"> di Ricerca</w:t>
      </w:r>
      <w:r w:rsidRPr="00BC2909">
        <w:rPr>
          <w:rFonts w:ascii="Titillium Web" w:hAnsi="Titillium Web" w:cstheme="minorHAnsi"/>
          <w:color w:val="000000" w:themeColor="text1"/>
          <w:sz w:val="22"/>
          <w:szCs w:val="22"/>
        </w:rPr>
        <w:t xml:space="preserve"> per </w:t>
      </w:r>
      <w:r w:rsidR="00BC2909">
        <w:rPr>
          <w:rFonts w:ascii="Titillium Web" w:hAnsi="Titillium Web" w:cstheme="minorHAnsi"/>
          <w:color w:val="000000" w:themeColor="text1"/>
          <w:sz w:val="22"/>
          <w:szCs w:val="22"/>
        </w:rPr>
        <w:t xml:space="preserve">le </w:t>
      </w:r>
      <w:r w:rsidRPr="00BC2909">
        <w:rPr>
          <w:rFonts w:ascii="Titillium Web" w:hAnsi="Titillium Web" w:cstheme="minorHAnsi"/>
          <w:color w:val="000000" w:themeColor="text1"/>
          <w:sz w:val="22"/>
          <w:szCs w:val="22"/>
        </w:rPr>
        <w:t xml:space="preserve">Tecnologie dell’Agricoltura (Agritech), a valere sulle risorse del Piano Nazionale Ripresa e Resilienza (PNRR) di cui alla Missione 4, “Istruzione e Ricerca” - Componente 2, “Dalla Ricerca all’Impresa” - Linea Di Investimento 1.4, “Potenziamento Strutture di Ricerca e Creazione di "Campioni Nazionali Di R&amp;S" su Alcune Key </w:t>
      </w:r>
      <w:proofErr w:type="spellStart"/>
      <w:r w:rsidRPr="00BC2909">
        <w:rPr>
          <w:rFonts w:ascii="Titillium Web" w:hAnsi="Titillium Web" w:cstheme="minorHAnsi"/>
          <w:color w:val="000000" w:themeColor="text1"/>
          <w:sz w:val="22"/>
          <w:szCs w:val="22"/>
        </w:rPr>
        <w:t>Enabling</w:t>
      </w:r>
      <w:proofErr w:type="spellEnd"/>
      <w:r w:rsidRPr="00BC2909">
        <w:rPr>
          <w:rFonts w:ascii="Titillium Web" w:hAnsi="Titillium Web" w:cstheme="minorHAnsi"/>
          <w:color w:val="000000" w:themeColor="text1"/>
          <w:sz w:val="22"/>
          <w:szCs w:val="22"/>
        </w:rPr>
        <w:t xml:space="preserve"> Technologies”, Finanziato dall’Unione Europea – NEXTGENERATIONEU;</w:t>
      </w:r>
    </w:p>
    <w:p w14:paraId="755F1CEF" w14:textId="6D189C9E" w:rsidR="00453B8B" w:rsidRPr="00453B8B" w:rsidRDefault="00453B8B" w:rsidP="00BC2909">
      <w:pPr>
        <w:pStyle w:val="Paragrafoelenco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tillium Web" w:hAnsi="Titillium Web" w:cstheme="minorHAnsi"/>
          <w:color w:val="000000" w:themeColor="text1"/>
          <w:sz w:val="22"/>
          <w:szCs w:val="22"/>
        </w:rPr>
      </w:pPr>
      <w:r w:rsidRPr="00453B8B">
        <w:rPr>
          <w:rFonts w:ascii="Titillium Web" w:hAnsi="Titillium Web" w:cstheme="minorHAnsi"/>
          <w:color w:val="000000" w:themeColor="text1"/>
          <w:sz w:val="22"/>
          <w:szCs w:val="22"/>
        </w:rPr>
        <w:t xml:space="preserve">conseguentemente, avvalendosi della piattaforma telematica </w:t>
      </w:r>
      <w:r w:rsidR="00B971E2" w:rsidRPr="00EA3C0E">
        <w:rPr>
          <w:rFonts w:ascii="Titillium Web" w:hAnsi="Titillium Web"/>
          <w:sz w:val="22"/>
          <w:szCs w:val="22"/>
        </w:rPr>
        <w:t xml:space="preserve">Consip </w:t>
      </w:r>
      <w:proofErr w:type="spellStart"/>
      <w:r w:rsidR="00B971E2">
        <w:rPr>
          <w:rFonts w:ascii="Titillium Web" w:hAnsi="Titillium Web"/>
          <w:sz w:val="22"/>
          <w:szCs w:val="22"/>
        </w:rPr>
        <w:t>A</w:t>
      </w:r>
      <w:r w:rsidR="00B971E2" w:rsidRPr="00EA3C0E">
        <w:rPr>
          <w:rFonts w:ascii="Titillium Web" w:hAnsi="Titillium Web"/>
          <w:sz w:val="22"/>
          <w:szCs w:val="22"/>
        </w:rPr>
        <w:t>cquistin</w:t>
      </w:r>
      <w:r w:rsidR="00B971E2">
        <w:rPr>
          <w:rFonts w:ascii="Titillium Web" w:hAnsi="Titillium Web"/>
          <w:sz w:val="22"/>
          <w:szCs w:val="22"/>
        </w:rPr>
        <w:t>R</w:t>
      </w:r>
      <w:r w:rsidR="00B971E2" w:rsidRPr="00EA3C0E">
        <w:rPr>
          <w:rFonts w:ascii="Titillium Web" w:hAnsi="Titillium Web"/>
          <w:sz w:val="22"/>
          <w:szCs w:val="22"/>
        </w:rPr>
        <w:t>ete</w:t>
      </w:r>
      <w:r w:rsidR="00B971E2">
        <w:rPr>
          <w:rFonts w:ascii="Titillium Web" w:hAnsi="Titillium Web"/>
          <w:sz w:val="22"/>
          <w:szCs w:val="22"/>
        </w:rPr>
        <w:t>PA</w:t>
      </w:r>
      <w:proofErr w:type="spellEnd"/>
      <w:r w:rsidRPr="00453B8B">
        <w:rPr>
          <w:rFonts w:ascii="Titillium Web" w:hAnsi="Titillium Web" w:cstheme="minorHAnsi"/>
          <w:color w:val="000000" w:themeColor="text1"/>
          <w:sz w:val="22"/>
          <w:szCs w:val="22"/>
        </w:rPr>
        <w:t xml:space="preserve">, con bando pubblicato in </w:t>
      </w:r>
      <w:r w:rsidRPr="00FE1D46">
        <w:rPr>
          <w:rFonts w:ascii="Titillium Web" w:hAnsi="Titillium Web" w:cstheme="minorHAnsi"/>
          <w:color w:val="000000" w:themeColor="text1"/>
          <w:sz w:val="22"/>
          <w:szCs w:val="22"/>
        </w:rPr>
        <w:t xml:space="preserve">data </w:t>
      </w:r>
      <w:r w:rsidR="006E2B28">
        <w:rPr>
          <w:rFonts w:ascii="Titillium Web" w:hAnsi="Titillium Web" w:cstheme="minorHAnsi"/>
          <w:color w:val="000000" w:themeColor="text1"/>
          <w:sz w:val="22"/>
          <w:szCs w:val="22"/>
        </w:rPr>
        <w:t>10</w:t>
      </w:r>
      <w:r w:rsidR="00770F4D">
        <w:rPr>
          <w:rFonts w:ascii="Titillium Web" w:hAnsi="Titillium Web" w:cstheme="minorHAnsi"/>
          <w:color w:val="000000" w:themeColor="text1"/>
          <w:sz w:val="22"/>
          <w:szCs w:val="22"/>
        </w:rPr>
        <w:t>.11.</w:t>
      </w:r>
      <w:r w:rsidR="00770F4D" w:rsidRPr="00770F4D">
        <w:rPr>
          <w:rFonts w:ascii="Titillium Web" w:hAnsi="Titillium Web" w:cstheme="minorHAnsi"/>
          <w:color w:val="000000" w:themeColor="text1"/>
          <w:sz w:val="22"/>
          <w:szCs w:val="22"/>
        </w:rPr>
        <w:t>2023</w:t>
      </w:r>
      <w:r w:rsidRPr="00770F4D">
        <w:rPr>
          <w:rFonts w:ascii="Titillium Web" w:hAnsi="Titillium Web" w:cstheme="minorHAnsi"/>
          <w:color w:val="000000" w:themeColor="text1"/>
          <w:sz w:val="22"/>
          <w:szCs w:val="22"/>
        </w:rPr>
        <w:t xml:space="preserve"> </w:t>
      </w:r>
      <w:r w:rsidR="00BC2909" w:rsidRPr="00770F4D">
        <w:rPr>
          <w:rFonts w:ascii="Titillium Web" w:hAnsi="Titillium Web" w:cstheme="minorHAnsi"/>
          <w:color w:val="000000" w:themeColor="text1"/>
          <w:sz w:val="22"/>
          <w:szCs w:val="22"/>
        </w:rPr>
        <w:t>il</w:t>
      </w:r>
      <w:r w:rsidR="00BC2909" w:rsidRPr="00FE1D46">
        <w:rPr>
          <w:rFonts w:ascii="Titillium Web" w:hAnsi="Titillium Web" w:cstheme="minorHAnsi"/>
          <w:color w:val="000000" w:themeColor="text1"/>
          <w:sz w:val="22"/>
          <w:szCs w:val="22"/>
        </w:rPr>
        <w:t xml:space="preserve"> Dipartimento</w:t>
      </w:r>
      <w:r w:rsidR="00BC2909">
        <w:rPr>
          <w:rFonts w:ascii="Titillium Web" w:hAnsi="Titillium Web" w:cstheme="minorHAnsi"/>
          <w:color w:val="000000" w:themeColor="text1"/>
          <w:sz w:val="22"/>
          <w:szCs w:val="22"/>
        </w:rPr>
        <w:t xml:space="preserve"> di Agraria dell’</w:t>
      </w:r>
      <w:r w:rsidRPr="00453B8B">
        <w:rPr>
          <w:rFonts w:ascii="Titillium Web" w:hAnsi="Titillium Web" w:cstheme="minorHAnsi"/>
          <w:color w:val="000000" w:themeColor="text1"/>
          <w:sz w:val="22"/>
          <w:szCs w:val="22"/>
        </w:rPr>
        <w:t>Università di Napoli avviava una procedura aperta ai sensi dell’art. 71 D.lgs. 36/2023;</w:t>
      </w:r>
    </w:p>
    <w:p w14:paraId="5CE5E74C" w14:textId="2B375360" w:rsidR="00453B8B" w:rsidRPr="00453B8B" w:rsidRDefault="00453B8B" w:rsidP="00BC2909">
      <w:pPr>
        <w:pStyle w:val="Paragrafoelenco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tillium Web" w:hAnsi="Titillium Web" w:cstheme="minorHAnsi"/>
          <w:color w:val="000000" w:themeColor="text1"/>
          <w:sz w:val="22"/>
          <w:szCs w:val="22"/>
        </w:rPr>
      </w:pPr>
      <w:r w:rsidRPr="00453B8B">
        <w:rPr>
          <w:rFonts w:ascii="Titillium Web" w:hAnsi="Titillium Web" w:cstheme="minorHAnsi"/>
          <w:color w:val="000000" w:themeColor="text1"/>
          <w:sz w:val="22"/>
          <w:szCs w:val="22"/>
        </w:rPr>
        <w:t>a conclusione della suddetta procedura, con determina n. ___ del ___ l’appalto veniva aggiudicato a favore dell’operatore economico ____;</w:t>
      </w:r>
    </w:p>
    <w:p w14:paraId="7AE72CCA" w14:textId="5F829FA2" w:rsidR="00453B8B" w:rsidRPr="00453B8B" w:rsidRDefault="00BC2909" w:rsidP="00BC2909">
      <w:pPr>
        <w:pStyle w:val="Paragrafoelenco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tillium Web" w:hAnsi="Titillium Web" w:cstheme="minorHAnsi"/>
          <w:color w:val="000000" w:themeColor="text1"/>
          <w:sz w:val="22"/>
          <w:szCs w:val="22"/>
        </w:rPr>
      </w:pPr>
      <w:r>
        <w:rPr>
          <w:rFonts w:ascii="Titillium Web" w:hAnsi="Titillium Web" w:cstheme="minorHAnsi"/>
          <w:color w:val="000000" w:themeColor="text1"/>
          <w:sz w:val="22"/>
          <w:szCs w:val="22"/>
        </w:rPr>
        <w:t>in</w:t>
      </w:r>
      <w:r w:rsidR="00453B8B" w:rsidRPr="00453B8B">
        <w:rPr>
          <w:rFonts w:ascii="Titillium Web" w:hAnsi="Titillium Web" w:cstheme="minorHAnsi"/>
          <w:color w:val="000000" w:themeColor="text1"/>
          <w:sz w:val="22"/>
          <w:szCs w:val="22"/>
        </w:rPr>
        <w:t xml:space="preserve"> vista della sottoscrizione del presente contratto, l’aggiudicatario ___ ha presentato idonea garanzia definitiva ai sensi dell’art. 117 D.lgs. 36/2023;</w:t>
      </w:r>
    </w:p>
    <w:p w14:paraId="11AE4DF4" w14:textId="5D88F5A4" w:rsidR="00453B8B" w:rsidRPr="00453B8B" w:rsidRDefault="00453B8B" w:rsidP="00BC2909">
      <w:pPr>
        <w:pStyle w:val="Paragrafoelenco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tillium Web" w:hAnsi="Titillium Web" w:cstheme="minorHAnsi"/>
          <w:color w:val="000000" w:themeColor="text1"/>
          <w:sz w:val="22"/>
          <w:szCs w:val="22"/>
        </w:rPr>
      </w:pPr>
      <w:r w:rsidRPr="00453B8B">
        <w:rPr>
          <w:rFonts w:ascii="Titillium Web" w:hAnsi="Titillium Web" w:cstheme="minorHAnsi"/>
          <w:color w:val="000000" w:themeColor="text1"/>
          <w:sz w:val="22"/>
          <w:szCs w:val="22"/>
        </w:rPr>
        <w:t>i controlli sul possesso dei requisiti generali e speciali in capo l’aggiudicatario ___ sono stati effettuati dalla Stazione appaltante con esito positivo;</w:t>
      </w:r>
    </w:p>
    <w:p w14:paraId="3EC0C8F1" w14:textId="71301B01" w:rsidR="00BC2909" w:rsidRDefault="00453B8B" w:rsidP="00630515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120"/>
        <w:ind w:left="357" w:hanging="357"/>
        <w:contextualSpacing w:val="0"/>
        <w:jc w:val="both"/>
        <w:rPr>
          <w:rFonts w:ascii="Titillium Web" w:hAnsi="Titillium Web" w:cstheme="minorHAnsi"/>
          <w:color w:val="000000" w:themeColor="text1"/>
          <w:sz w:val="22"/>
          <w:szCs w:val="22"/>
        </w:rPr>
      </w:pPr>
      <w:r w:rsidRPr="00453B8B">
        <w:rPr>
          <w:rFonts w:ascii="Titillium Web" w:hAnsi="Titillium Web" w:cstheme="minorHAnsi"/>
          <w:color w:val="000000" w:themeColor="text1"/>
          <w:sz w:val="22"/>
          <w:szCs w:val="22"/>
        </w:rPr>
        <w:t>pertanto, occorre procedere alla stipula del contratto d’appalto in oggetto.</w:t>
      </w:r>
    </w:p>
    <w:p w14:paraId="4E5E099B" w14:textId="18CE55DD" w:rsidR="00453B8B" w:rsidRPr="00BC2909" w:rsidRDefault="00453B8B" w:rsidP="00BC2909">
      <w:pPr>
        <w:autoSpaceDE w:val="0"/>
        <w:autoSpaceDN w:val="0"/>
        <w:adjustRightInd w:val="0"/>
        <w:jc w:val="both"/>
        <w:rPr>
          <w:rFonts w:ascii="Titillium Web" w:hAnsi="Titillium Web" w:cstheme="minorHAnsi"/>
          <w:color w:val="000000" w:themeColor="text1"/>
          <w:sz w:val="22"/>
          <w:szCs w:val="22"/>
        </w:rPr>
      </w:pPr>
      <w:r w:rsidRPr="00BC2909">
        <w:rPr>
          <w:rFonts w:ascii="Titillium Web" w:hAnsi="Titillium Web" w:cstheme="minorHAnsi"/>
          <w:color w:val="000000" w:themeColor="text1"/>
          <w:sz w:val="22"/>
          <w:szCs w:val="22"/>
        </w:rPr>
        <w:t>Tutto ciò premesso, le Parti convengono e stipulano quanto segue.</w:t>
      </w:r>
    </w:p>
    <w:p w14:paraId="08A364FD" w14:textId="77777777" w:rsidR="00453B8B" w:rsidRPr="00BC2909" w:rsidRDefault="00453B8B" w:rsidP="00BC2909">
      <w:pPr>
        <w:autoSpaceDE w:val="0"/>
        <w:autoSpaceDN w:val="0"/>
        <w:adjustRightInd w:val="0"/>
        <w:jc w:val="center"/>
        <w:rPr>
          <w:rFonts w:ascii="Titillium Web" w:hAnsi="Titillium Web" w:cstheme="minorHAnsi"/>
          <w:b/>
          <w:bCs/>
          <w:color w:val="000000" w:themeColor="text1"/>
          <w:sz w:val="22"/>
          <w:szCs w:val="22"/>
        </w:rPr>
      </w:pPr>
      <w:r w:rsidRPr="00BC2909">
        <w:rPr>
          <w:rFonts w:ascii="Titillium Web" w:hAnsi="Titillium Web" w:cstheme="minorHAnsi"/>
          <w:b/>
          <w:bCs/>
          <w:color w:val="000000" w:themeColor="text1"/>
          <w:sz w:val="22"/>
          <w:szCs w:val="22"/>
        </w:rPr>
        <w:lastRenderedPageBreak/>
        <w:t>***</w:t>
      </w:r>
    </w:p>
    <w:p w14:paraId="7F66040A" w14:textId="77777777" w:rsidR="00453B8B" w:rsidRPr="00BC2909" w:rsidRDefault="00453B8B" w:rsidP="00453B8B">
      <w:pPr>
        <w:autoSpaceDE w:val="0"/>
        <w:autoSpaceDN w:val="0"/>
        <w:adjustRightInd w:val="0"/>
        <w:jc w:val="both"/>
        <w:rPr>
          <w:rFonts w:ascii="Titillium Web" w:hAnsi="Titillium Web" w:cstheme="minorHAnsi"/>
          <w:b/>
          <w:bCs/>
          <w:color w:val="000000" w:themeColor="text1"/>
          <w:sz w:val="24"/>
          <w:szCs w:val="24"/>
        </w:rPr>
      </w:pPr>
      <w:r w:rsidRPr="00BC2909">
        <w:rPr>
          <w:rFonts w:ascii="Titillium Web" w:hAnsi="Titillium Web" w:cstheme="minorHAnsi"/>
          <w:b/>
          <w:bCs/>
          <w:color w:val="000000" w:themeColor="text1"/>
          <w:sz w:val="24"/>
          <w:szCs w:val="24"/>
        </w:rPr>
        <w:t>Art. 1 – Premesse</w:t>
      </w:r>
    </w:p>
    <w:p w14:paraId="07B5F470" w14:textId="77777777" w:rsidR="00453B8B" w:rsidRPr="00453B8B" w:rsidRDefault="00453B8B" w:rsidP="00453B8B">
      <w:pPr>
        <w:autoSpaceDE w:val="0"/>
        <w:autoSpaceDN w:val="0"/>
        <w:adjustRightInd w:val="0"/>
        <w:jc w:val="both"/>
        <w:rPr>
          <w:rFonts w:ascii="Titillium Web" w:hAnsi="Titillium Web" w:cstheme="minorHAnsi"/>
          <w:color w:val="000000" w:themeColor="text1"/>
          <w:sz w:val="22"/>
          <w:szCs w:val="22"/>
        </w:rPr>
      </w:pPr>
      <w:r w:rsidRPr="00453B8B">
        <w:rPr>
          <w:rFonts w:ascii="Titillium Web" w:hAnsi="Titillium Web" w:cstheme="minorHAnsi"/>
          <w:color w:val="000000" w:themeColor="text1"/>
          <w:sz w:val="22"/>
          <w:szCs w:val="22"/>
        </w:rPr>
        <w:t>Le premesse formano parte integrante del presente contratto di appalto.</w:t>
      </w:r>
    </w:p>
    <w:p w14:paraId="6A6F2974" w14:textId="77777777" w:rsidR="00453B8B" w:rsidRPr="00453B8B" w:rsidRDefault="00453B8B" w:rsidP="00453B8B">
      <w:pPr>
        <w:autoSpaceDE w:val="0"/>
        <w:autoSpaceDN w:val="0"/>
        <w:adjustRightInd w:val="0"/>
        <w:jc w:val="both"/>
        <w:rPr>
          <w:rFonts w:ascii="Titillium Web" w:hAnsi="Titillium Web" w:cstheme="minorHAnsi"/>
          <w:color w:val="000000" w:themeColor="text1"/>
          <w:sz w:val="22"/>
          <w:szCs w:val="22"/>
        </w:rPr>
      </w:pPr>
      <w:r w:rsidRPr="00453B8B">
        <w:rPr>
          <w:rFonts w:ascii="Titillium Web" w:hAnsi="Titillium Web" w:cstheme="minorHAnsi"/>
          <w:color w:val="000000" w:themeColor="text1"/>
          <w:sz w:val="22"/>
          <w:szCs w:val="22"/>
        </w:rPr>
        <w:t>Sono inoltre parte integrante e sostanziale dello stesso, anche se non materialmente allegati:</w:t>
      </w:r>
    </w:p>
    <w:p w14:paraId="45962CE5" w14:textId="0B720B27" w:rsidR="00453B8B" w:rsidRPr="00BC2909" w:rsidRDefault="00453B8B" w:rsidP="00BC2909">
      <w:pPr>
        <w:pStyle w:val="Paragrafoelenco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tillium Web" w:hAnsi="Titillium Web" w:cstheme="minorHAnsi"/>
          <w:color w:val="000000" w:themeColor="text1"/>
          <w:sz w:val="22"/>
          <w:szCs w:val="22"/>
        </w:rPr>
      </w:pPr>
      <w:r w:rsidRPr="00BC2909">
        <w:rPr>
          <w:rFonts w:ascii="Titillium Web" w:hAnsi="Titillium Web" w:cstheme="minorHAnsi"/>
          <w:color w:val="000000" w:themeColor="text1"/>
          <w:sz w:val="22"/>
          <w:szCs w:val="22"/>
        </w:rPr>
        <w:t xml:space="preserve">il capitolato speciale di appalto, il capitolato tecnico di fornitura, nonché tutta la documentazione predisposta dalla Stazione appaltante per la procedura di affidamento in oggetto, compresi i relativi allegati; </w:t>
      </w:r>
    </w:p>
    <w:p w14:paraId="2D451A4B" w14:textId="1683BE3A" w:rsidR="00453B8B" w:rsidRPr="00BC2909" w:rsidRDefault="00453B8B" w:rsidP="00BC2909">
      <w:pPr>
        <w:pStyle w:val="Paragrafoelenco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tillium Web" w:hAnsi="Titillium Web" w:cstheme="minorHAnsi"/>
          <w:color w:val="000000" w:themeColor="text1"/>
          <w:sz w:val="22"/>
          <w:szCs w:val="22"/>
        </w:rPr>
      </w:pPr>
      <w:r w:rsidRPr="00BC2909">
        <w:rPr>
          <w:rFonts w:ascii="Titillium Web" w:hAnsi="Titillium Web" w:cstheme="minorHAnsi"/>
          <w:color w:val="000000" w:themeColor="text1"/>
          <w:sz w:val="22"/>
          <w:szCs w:val="22"/>
        </w:rPr>
        <w:t>l’offerta presentata dall’Appaltatore in relazione alla procedura in oggetto;</w:t>
      </w:r>
    </w:p>
    <w:p w14:paraId="4F0E8590" w14:textId="52A320F4" w:rsidR="00453B8B" w:rsidRPr="00BC2909" w:rsidRDefault="00453B8B" w:rsidP="00BC2909">
      <w:pPr>
        <w:pStyle w:val="Paragrafoelenco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tillium Web" w:hAnsi="Titillium Web" w:cstheme="minorHAnsi"/>
          <w:color w:val="000000" w:themeColor="text1"/>
          <w:sz w:val="22"/>
          <w:szCs w:val="22"/>
        </w:rPr>
      </w:pPr>
      <w:r w:rsidRPr="00BC2909">
        <w:rPr>
          <w:rFonts w:ascii="Titillium Web" w:hAnsi="Titillium Web" w:cstheme="minorHAnsi"/>
          <w:color w:val="000000" w:themeColor="text1"/>
          <w:sz w:val="22"/>
          <w:szCs w:val="22"/>
        </w:rPr>
        <w:t>l’informativa sul trattamento dei dati personali, sottoscritta dall’Appaltatore (informativa privacy);</w:t>
      </w:r>
    </w:p>
    <w:p w14:paraId="7B26C8BD" w14:textId="00D695A1" w:rsidR="00453B8B" w:rsidRPr="00BC2909" w:rsidRDefault="00453B8B" w:rsidP="00BC2909">
      <w:pPr>
        <w:pStyle w:val="Paragrafoelenco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tillium Web" w:hAnsi="Titillium Web" w:cstheme="minorHAnsi"/>
          <w:color w:val="000000" w:themeColor="text1"/>
          <w:sz w:val="22"/>
          <w:szCs w:val="22"/>
        </w:rPr>
      </w:pPr>
      <w:r w:rsidRPr="00BC2909">
        <w:rPr>
          <w:rFonts w:ascii="Titillium Web" w:hAnsi="Titillium Web" w:cstheme="minorHAnsi"/>
          <w:color w:val="000000" w:themeColor="text1"/>
          <w:sz w:val="22"/>
          <w:szCs w:val="22"/>
        </w:rPr>
        <w:t>il patto di integrità sottoscritto dall’Appaltatore;</w:t>
      </w:r>
    </w:p>
    <w:p w14:paraId="19EFFC4A" w14:textId="2E57D9CB" w:rsidR="00453B8B" w:rsidRPr="00BC2909" w:rsidRDefault="00453B8B" w:rsidP="00BC2909">
      <w:pPr>
        <w:pStyle w:val="Paragrafoelenco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tillium Web" w:hAnsi="Titillium Web" w:cstheme="minorHAnsi"/>
          <w:color w:val="000000" w:themeColor="text1"/>
          <w:sz w:val="22"/>
          <w:szCs w:val="22"/>
        </w:rPr>
      </w:pPr>
      <w:r w:rsidRPr="00BC2909">
        <w:rPr>
          <w:rFonts w:ascii="Titillium Web" w:hAnsi="Titillium Web" w:cstheme="minorHAnsi"/>
          <w:color w:val="000000" w:themeColor="text1"/>
          <w:sz w:val="22"/>
          <w:szCs w:val="22"/>
        </w:rPr>
        <w:t>gli ulteriori elaborati e atti facenti parte della documentazione di gara.</w:t>
      </w:r>
    </w:p>
    <w:p w14:paraId="26AE5FA7" w14:textId="77777777" w:rsidR="00453B8B" w:rsidRPr="00BC2909" w:rsidRDefault="00453B8B" w:rsidP="00BC2909">
      <w:pPr>
        <w:autoSpaceDE w:val="0"/>
        <w:autoSpaceDN w:val="0"/>
        <w:adjustRightInd w:val="0"/>
        <w:spacing w:before="240"/>
        <w:jc w:val="both"/>
        <w:rPr>
          <w:rFonts w:ascii="Titillium Web" w:hAnsi="Titillium Web" w:cstheme="minorHAnsi"/>
          <w:b/>
          <w:bCs/>
          <w:color w:val="000000" w:themeColor="text1"/>
          <w:sz w:val="24"/>
          <w:szCs w:val="24"/>
        </w:rPr>
      </w:pPr>
      <w:r w:rsidRPr="00BC2909">
        <w:rPr>
          <w:rFonts w:ascii="Titillium Web" w:hAnsi="Titillium Web" w:cstheme="minorHAnsi"/>
          <w:b/>
          <w:bCs/>
          <w:color w:val="000000" w:themeColor="text1"/>
          <w:sz w:val="24"/>
          <w:szCs w:val="24"/>
        </w:rPr>
        <w:t>Art. 2 – Oggetto del contratto</w:t>
      </w:r>
    </w:p>
    <w:p w14:paraId="0A984910" w14:textId="7EC09622" w:rsidR="00453B8B" w:rsidRPr="00453B8B" w:rsidRDefault="00453B8B" w:rsidP="00453B8B">
      <w:pPr>
        <w:autoSpaceDE w:val="0"/>
        <w:autoSpaceDN w:val="0"/>
        <w:adjustRightInd w:val="0"/>
        <w:jc w:val="both"/>
        <w:rPr>
          <w:rFonts w:ascii="Titillium Web" w:hAnsi="Titillium Web" w:cstheme="minorHAnsi"/>
          <w:color w:val="000000" w:themeColor="text1"/>
          <w:sz w:val="22"/>
          <w:szCs w:val="22"/>
        </w:rPr>
      </w:pPr>
      <w:r w:rsidRPr="00453B8B">
        <w:rPr>
          <w:rFonts w:ascii="Titillium Web" w:hAnsi="Titillium Web" w:cstheme="minorHAnsi"/>
          <w:color w:val="000000" w:themeColor="text1"/>
          <w:sz w:val="22"/>
          <w:szCs w:val="22"/>
        </w:rPr>
        <w:t>Il presente contratto di appalto ha per oggetto la fornitura di una “</w:t>
      </w:r>
      <w:r w:rsidR="00672FE3" w:rsidRPr="00672FE3">
        <w:rPr>
          <w:rFonts w:ascii="Titillium Web" w:hAnsi="Titillium Web" w:cstheme="minorHAnsi"/>
          <w:i/>
          <w:iCs/>
          <w:color w:val="000000" w:themeColor="text1"/>
          <w:sz w:val="22"/>
          <w:szCs w:val="22"/>
        </w:rPr>
        <w:t>PIATTAFORMA DI ECOTRONI (MICROCOSMI) COMPRENSIVA DI N. 5 UNITÀ, INCLUSO IL SERVIZIO DI ASSISTENZA</w:t>
      </w:r>
      <w:r w:rsidRPr="00453B8B">
        <w:rPr>
          <w:rFonts w:ascii="Titillium Web" w:hAnsi="Titillium Web" w:cstheme="minorHAnsi"/>
          <w:color w:val="000000" w:themeColor="text1"/>
          <w:sz w:val="22"/>
          <w:szCs w:val="22"/>
        </w:rPr>
        <w:t xml:space="preserve">”,  necessaria per l’attuazione del Programma di Ricerca del </w:t>
      </w:r>
      <w:r w:rsidR="000B3B9B">
        <w:rPr>
          <w:rFonts w:ascii="Titillium Web" w:hAnsi="Titillium Web" w:cstheme="minorHAnsi"/>
          <w:color w:val="000000" w:themeColor="text1"/>
          <w:sz w:val="22"/>
          <w:szCs w:val="22"/>
        </w:rPr>
        <w:t xml:space="preserve">Centro Nazionale </w:t>
      </w:r>
      <w:r w:rsidR="00BC2909">
        <w:rPr>
          <w:rFonts w:ascii="Titillium Web" w:hAnsi="Titillium Web" w:cstheme="minorHAnsi"/>
          <w:color w:val="000000" w:themeColor="text1"/>
          <w:sz w:val="22"/>
          <w:szCs w:val="22"/>
        </w:rPr>
        <w:t>di Ricerca</w:t>
      </w:r>
      <w:r w:rsidR="00BC2909" w:rsidRPr="00BC2909">
        <w:rPr>
          <w:rFonts w:ascii="Titillium Web" w:hAnsi="Titillium Web" w:cstheme="minorHAnsi"/>
          <w:color w:val="000000" w:themeColor="text1"/>
          <w:sz w:val="22"/>
          <w:szCs w:val="22"/>
        </w:rPr>
        <w:t xml:space="preserve"> per </w:t>
      </w:r>
      <w:r w:rsidR="00BC2909">
        <w:rPr>
          <w:rFonts w:ascii="Titillium Web" w:hAnsi="Titillium Web" w:cstheme="minorHAnsi"/>
          <w:color w:val="000000" w:themeColor="text1"/>
          <w:sz w:val="22"/>
          <w:szCs w:val="22"/>
        </w:rPr>
        <w:t xml:space="preserve">le </w:t>
      </w:r>
      <w:r w:rsidR="00BC2909" w:rsidRPr="00BC2909">
        <w:rPr>
          <w:rFonts w:ascii="Titillium Web" w:hAnsi="Titillium Web" w:cstheme="minorHAnsi"/>
          <w:color w:val="000000" w:themeColor="text1"/>
          <w:sz w:val="22"/>
          <w:szCs w:val="22"/>
        </w:rPr>
        <w:t>Tecnologie dell’Agricoltura (Agritech</w:t>
      </w:r>
      <w:r w:rsidRPr="00453B8B">
        <w:rPr>
          <w:rFonts w:ascii="Titillium Web" w:hAnsi="Titillium Web" w:cstheme="minorHAnsi"/>
          <w:color w:val="000000" w:themeColor="text1"/>
          <w:sz w:val="22"/>
          <w:szCs w:val="22"/>
        </w:rPr>
        <w:t xml:space="preserve">), a valere sulle risorse del Piano Nazionale Ripresa e Resilienza (PNRR) di cui alla Missione 4, “Istruzione e Ricerca” - Componente 2, “Dalla Ricerca all’Impresa” - Linea di Investimento 1.4, “Potenziamento Strutture di Ricerca e Creazione di "Campioni Nazionali di R&amp;S" su alcune Key </w:t>
      </w:r>
      <w:proofErr w:type="spellStart"/>
      <w:r w:rsidRPr="00453B8B">
        <w:rPr>
          <w:rFonts w:ascii="Titillium Web" w:hAnsi="Titillium Web" w:cstheme="minorHAnsi"/>
          <w:color w:val="000000" w:themeColor="text1"/>
          <w:sz w:val="22"/>
          <w:szCs w:val="22"/>
        </w:rPr>
        <w:t>Enabling</w:t>
      </w:r>
      <w:proofErr w:type="spellEnd"/>
      <w:r w:rsidRPr="00453B8B">
        <w:rPr>
          <w:rFonts w:ascii="Titillium Web" w:hAnsi="Titillium Web" w:cstheme="minorHAnsi"/>
          <w:color w:val="000000" w:themeColor="text1"/>
          <w:sz w:val="22"/>
          <w:szCs w:val="22"/>
        </w:rPr>
        <w:t xml:space="preserve"> Technologies”, Finanziato dall’Unione Europea – NEXTGENERATIONEU.</w:t>
      </w:r>
    </w:p>
    <w:p w14:paraId="0F37918E" w14:textId="77777777" w:rsidR="00453B8B" w:rsidRPr="00453B8B" w:rsidRDefault="00453B8B" w:rsidP="00453B8B">
      <w:pPr>
        <w:autoSpaceDE w:val="0"/>
        <w:autoSpaceDN w:val="0"/>
        <w:adjustRightInd w:val="0"/>
        <w:jc w:val="both"/>
        <w:rPr>
          <w:rFonts w:ascii="Titillium Web" w:hAnsi="Titillium Web" w:cstheme="minorHAnsi"/>
          <w:color w:val="000000" w:themeColor="text1"/>
          <w:sz w:val="22"/>
          <w:szCs w:val="22"/>
        </w:rPr>
      </w:pPr>
      <w:r w:rsidRPr="00453B8B">
        <w:rPr>
          <w:rFonts w:ascii="Titillium Web" w:hAnsi="Titillium Web" w:cstheme="minorHAnsi"/>
          <w:color w:val="000000" w:themeColor="text1"/>
          <w:sz w:val="22"/>
          <w:szCs w:val="22"/>
        </w:rPr>
        <w:t xml:space="preserve">L’Appaltatore si impegna, altresì, a </w:t>
      </w:r>
      <w:proofErr w:type="gramStart"/>
      <w:r w:rsidRPr="00453B8B">
        <w:rPr>
          <w:rFonts w:ascii="Titillium Web" w:hAnsi="Titillium Web" w:cstheme="minorHAnsi"/>
          <w:color w:val="000000" w:themeColor="text1"/>
          <w:sz w:val="22"/>
          <w:szCs w:val="22"/>
        </w:rPr>
        <w:t>porre in essere</w:t>
      </w:r>
      <w:proofErr w:type="gramEnd"/>
      <w:r w:rsidRPr="00453B8B">
        <w:rPr>
          <w:rFonts w:ascii="Titillium Web" w:hAnsi="Titillium Web" w:cstheme="minorHAnsi"/>
          <w:color w:val="000000" w:themeColor="text1"/>
          <w:sz w:val="22"/>
          <w:szCs w:val="22"/>
        </w:rPr>
        <w:t xml:space="preserve"> tutte le attività connesse, strumentali e accessorie della fornitura come meglio descritto e dettagliato nel capitolato speciale di appalto.</w:t>
      </w:r>
    </w:p>
    <w:p w14:paraId="61D7A48A" w14:textId="77777777" w:rsidR="00453B8B" w:rsidRPr="00BC2909" w:rsidRDefault="00453B8B" w:rsidP="00BC2909">
      <w:pPr>
        <w:autoSpaceDE w:val="0"/>
        <w:autoSpaceDN w:val="0"/>
        <w:adjustRightInd w:val="0"/>
        <w:spacing w:before="240"/>
        <w:jc w:val="both"/>
        <w:rPr>
          <w:rFonts w:ascii="Titillium Web" w:hAnsi="Titillium Web" w:cstheme="minorHAnsi"/>
          <w:b/>
          <w:bCs/>
          <w:color w:val="000000" w:themeColor="text1"/>
          <w:sz w:val="24"/>
          <w:szCs w:val="24"/>
        </w:rPr>
      </w:pPr>
      <w:r w:rsidRPr="00BC2909">
        <w:rPr>
          <w:rFonts w:ascii="Titillium Web" w:hAnsi="Titillium Web" w:cstheme="minorHAnsi"/>
          <w:b/>
          <w:bCs/>
          <w:color w:val="000000" w:themeColor="text1"/>
          <w:sz w:val="24"/>
          <w:szCs w:val="24"/>
        </w:rPr>
        <w:t>Art. 3 – Durata del contratto e tempistiche di consegna della fornitura</w:t>
      </w:r>
    </w:p>
    <w:p w14:paraId="28D02590" w14:textId="7F1CD1CE" w:rsidR="00453B8B" w:rsidRPr="00453B8B" w:rsidRDefault="00453B8B" w:rsidP="00453B8B">
      <w:pPr>
        <w:autoSpaceDE w:val="0"/>
        <w:autoSpaceDN w:val="0"/>
        <w:adjustRightInd w:val="0"/>
        <w:jc w:val="both"/>
        <w:rPr>
          <w:rFonts w:ascii="Titillium Web" w:hAnsi="Titillium Web" w:cstheme="minorHAnsi"/>
          <w:color w:val="000000" w:themeColor="text1"/>
          <w:sz w:val="22"/>
          <w:szCs w:val="22"/>
        </w:rPr>
      </w:pPr>
      <w:r w:rsidRPr="00453B8B">
        <w:rPr>
          <w:rFonts w:ascii="Titillium Web" w:hAnsi="Titillium Web" w:cstheme="minorHAnsi"/>
          <w:color w:val="000000" w:themeColor="text1"/>
          <w:sz w:val="22"/>
          <w:szCs w:val="22"/>
        </w:rPr>
        <w:t xml:space="preserve">Le apparecchiature oggetto del presente appalto di fornitura dovranno essere consegnate alla Stazione appaltante entro </w:t>
      </w:r>
      <w:r w:rsidR="00672FE3">
        <w:rPr>
          <w:rFonts w:ascii="Titillium Web" w:hAnsi="Titillium Web" w:cstheme="minorHAnsi"/>
          <w:color w:val="000000" w:themeColor="text1"/>
          <w:sz w:val="22"/>
          <w:szCs w:val="22"/>
        </w:rPr>
        <w:t>120 giorni</w:t>
      </w:r>
      <w:r w:rsidR="00BC2909">
        <w:rPr>
          <w:rFonts w:ascii="Titillium Web" w:hAnsi="Titillium Web" w:cstheme="minorHAnsi"/>
          <w:color w:val="000000" w:themeColor="text1"/>
          <w:sz w:val="22"/>
          <w:szCs w:val="22"/>
        </w:rPr>
        <w:t xml:space="preserve"> </w:t>
      </w:r>
      <w:r w:rsidRPr="00453B8B">
        <w:rPr>
          <w:rFonts w:ascii="Titillium Web" w:hAnsi="Titillium Web" w:cstheme="minorHAnsi"/>
          <w:color w:val="000000" w:themeColor="text1"/>
          <w:sz w:val="22"/>
          <w:szCs w:val="22"/>
        </w:rPr>
        <w:t xml:space="preserve">naturali e consecutivi decorrenti dalla sottoscrizione del contratto ovvero dalla consegna anticipata della fornitura. </w:t>
      </w:r>
    </w:p>
    <w:p w14:paraId="543DE093" w14:textId="77777777" w:rsidR="00453B8B" w:rsidRPr="00BC2909" w:rsidRDefault="00453B8B" w:rsidP="00BC2909">
      <w:pPr>
        <w:autoSpaceDE w:val="0"/>
        <w:autoSpaceDN w:val="0"/>
        <w:adjustRightInd w:val="0"/>
        <w:spacing w:before="240"/>
        <w:jc w:val="both"/>
        <w:rPr>
          <w:rFonts w:ascii="Titillium Web" w:hAnsi="Titillium Web" w:cstheme="minorHAnsi"/>
          <w:b/>
          <w:bCs/>
          <w:color w:val="000000" w:themeColor="text1"/>
          <w:sz w:val="24"/>
          <w:szCs w:val="24"/>
        </w:rPr>
      </w:pPr>
      <w:r w:rsidRPr="00BC2909">
        <w:rPr>
          <w:rFonts w:ascii="Titillium Web" w:hAnsi="Titillium Web" w:cstheme="minorHAnsi"/>
          <w:b/>
          <w:bCs/>
          <w:color w:val="000000" w:themeColor="text1"/>
          <w:sz w:val="24"/>
          <w:szCs w:val="24"/>
        </w:rPr>
        <w:t>Art. 4 – Corrispettivo del contratto</w:t>
      </w:r>
    </w:p>
    <w:p w14:paraId="64DD4A61" w14:textId="57BA0F76" w:rsidR="00453B8B" w:rsidRPr="00453B8B" w:rsidRDefault="00453B8B" w:rsidP="00453B8B">
      <w:pPr>
        <w:autoSpaceDE w:val="0"/>
        <w:autoSpaceDN w:val="0"/>
        <w:adjustRightInd w:val="0"/>
        <w:jc w:val="both"/>
        <w:rPr>
          <w:rFonts w:ascii="Titillium Web" w:hAnsi="Titillium Web" w:cstheme="minorHAnsi"/>
          <w:color w:val="000000" w:themeColor="text1"/>
          <w:sz w:val="22"/>
          <w:szCs w:val="22"/>
        </w:rPr>
      </w:pPr>
      <w:r w:rsidRPr="00453B8B">
        <w:rPr>
          <w:rFonts w:ascii="Titillium Web" w:hAnsi="Titillium Web" w:cstheme="minorHAnsi"/>
          <w:color w:val="000000" w:themeColor="text1"/>
          <w:sz w:val="22"/>
          <w:szCs w:val="22"/>
        </w:rPr>
        <w:t>Il corrispettivo contrattuale per l’esecuzione della fornitura in oggetto è fissato, come da offerta economica presentata dall’Appaltatore in sede di gara, in misura pari a __</w:t>
      </w:r>
      <w:r w:rsidR="00975979">
        <w:rPr>
          <w:rFonts w:ascii="Titillium Web" w:hAnsi="Titillium Web" w:cstheme="minorHAnsi"/>
          <w:color w:val="000000" w:themeColor="text1"/>
          <w:sz w:val="22"/>
          <w:szCs w:val="22"/>
        </w:rPr>
        <w:t>_</w:t>
      </w:r>
      <w:r w:rsidRPr="00453B8B">
        <w:rPr>
          <w:rFonts w:ascii="Titillium Web" w:hAnsi="Titillium Web" w:cstheme="minorHAnsi"/>
          <w:color w:val="000000" w:themeColor="text1"/>
          <w:sz w:val="22"/>
          <w:szCs w:val="22"/>
        </w:rPr>
        <w:t xml:space="preserve">_, IVA esclusa.  </w:t>
      </w:r>
    </w:p>
    <w:p w14:paraId="187B696C" w14:textId="77777777" w:rsidR="00453B8B" w:rsidRPr="00BC2909" w:rsidRDefault="00453B8B" w:rsidP="00BC2909">
      <w:pPr>
        <w:autoSpaceDE w:val="0"/>
        <w:autoSpaceDN w:val="0"/>
        <w:adjustRightInd w:val="0"/>
        <w:spacing w:before="240"/>
        <w:jc w:val="both"/>
        <w:rPr>
          <w:rFonts w:ascii="Titillium Web" w:hAnsi="Titillium Web" w:cstheme="minorHAnsi"/>
          <w:b/>
          <w:bCs/>
          <w:color w:val="000000" w:themeColor="text1"/>
          <w:sz w:val="24"/>
          <w:szCs w:val="24"/>
        </w:rPr>
      </w:pPr>
      <w:r w:rsidRPr="00BC2909">
        <w:rPr>
          <w:rFonts w:ascii="Titillium Web" w:hAnsi="Titillium Web" w:cstheme="minorHAnsi"/>
          <w:b/>
          <w:bCs/>
          <w:color w:val="000000" w:themeColor="text1"/>
          <w:sz w:val="24"/>
          <w:szCs w:val="24"/>
        </w:rPr>
        <w:t>Art. 5 – Revisione dei prezzi</w:t>
      </w:r>
    </w:p>
    <w:p w14:paraId="51880337" w14:textId="77777777" w:rsidR="00453B8B" w:rsidRPr="00453B8B" w:rsidRDefault="00453B8B" w:rsidP="00453B8B">
      <w:pPr>
        <w:autoSpaceDE w:val="0"/>
        <w:autoSpaceDN w:val="0"/>
        <w:adjustRightInd w:val="0"/>
        <w:jc w:val="both"/>
        <w:rPr>
          <w:rFonts w:ascii="Titillium Web" w:hAnsi="Titillium Web" w:cstheme="minorHAnsi"/>
          <w:color w:val="000000" w:themeColor="text1"/>
          <w:sz w:val="22"/>
          <w:szCs w:val="22"/>
        </w:rPr>
      </w:pPr>
      <w:r w:rsidRPr="00453B8B">
        <w:rPr>
          <w:rFonts w:ascii="Titillium Web" w:hAnsi="Titillium Web" w:cstheme="minorHAnsi"/>
          <w:color w:val="000000" w:themeColor="text1"/>
          <w:sz w:val="22"/>
          <w:szCs w:val="22"/>
        </w:rPr>
        <w:t>Qualora nel corso di esecuzione del contratto, al verificarsi di particolari condizioni di natura oggettiva, si determina una variazione, in aumento o in diminuzione, del costo dei beni superiore al 5%, dell’importo complessivo, su richiesta del Fornitore, i prezzi sono aggiornati, nella misura dell’80% della variazione (solo per la parte eccedente il 5%), in relazione alle prestazioni da eseguire. Ai fini del calcolo della variazione dei prezzi si utilizzano gli elenchi dei prezzi rilevati dall’ISTAT, oppure, qualora i dati suindicati non siano disponibili, la revisione è effettuata in misura non superiore alla differenza tra l’indice Istat dei prezzi al consumo per le famiglie di operai e impiegati, al netto dei tabacchi (c.d. FOI) disponibile al momento della richiesta e quello corrispondente al mese/anno di sottoscrizione del contratto/ultima revisione. Laddove sono presenti prezzi di riferimento ANAC, la revisione è effettuata sulla base dei prezzi standard rilevati dalla Autorità.</w:t>
      </w:r>
    </w:p>
    <w:p w14:paraId="69F02A8C" w14:textId="77777777" w:rsidR="00453B8B" w:rsidRPr="00BC2909" w:rsidRDefault="00453B8B" w:rsidP="00BC2909">
      <w:pPr>
        <w:autoSpaceDE w:val="0"/>
        <w:autoSpaceDN w:val="0"/>
        <w:adjustRightInd w:val="0"/>
        <w:spacing w:before="240"/>
        <w:jc w:val="both"/>
        <w:rPr>
          <w:rFonts w:ascii="Titillium Web" w:hAnsi="Titillium Web" w:cstheme="minorHAnsi"/>
          <w:b/>
          <w:bCs/>
          <w:color w:val="000000" w:themeColor="text1"/>
          <w:sz w:val="24"/>
          <w:szCs w:val="24"/>
        </w:rPr>
      </w:pPr>
      <w:r w:rsidRPr="00BC2909">
        <w:rPr>
          <w:rFonts w:ascii="Titillium Web" w:hAnsi="Titillium Web" w:cstheme="minorHAnsi"/>
          <w:b/>
          <w:bCs/>
          <w:color w:val="000000" w:themeColor="text1"/>
          <w:sz w:val="24"/>
          <w:szCs w:val="24"/>
        </w:rPr>
        <w:t>Art. 6 – Fatturazione e pagamenti</w:t>
      </w:r>
    </w:p>
    <w:p w14:paraId="4F80E6DB" w14:textId="692617A2" w:rsidR="002D1FCE" w:rsidRPr="002D1FCE" w:rsidRDefault="002D1FCE" w:rsidP="002D1FCE">
      <w:pPr>
        <w:autoSpaceDE w:val="0"/>
        <w:autoSpaceDN w:val="0"/>
        <w:adjustRightInd w:val="0"/>
        <w:jc w:val="both"/>
        <w:rPr>
          <w:rFonts w:ascii="Titillium Web" w:hAnsi="Titillium Web" w:cstheme="minorHAnsi"/>
          <w:color w:val="000000" w:themeColor="text1"/>
          <w:sz w:val="22"/>
          <w:szCs w:val="22"/>
        </w:rPr>
      </w:pPr>
      <w:r>
        <w:rPr>
          <w:rFonts w:ascii="Titillium Web" w:hAnsi="Titillium Web" w:cstheme="minorHAnsi"/>
          <w:color w:val="000000" w:themeColor="text1"/>
          <w:sz w:val="22"/>
          <w:szCs w:val="22"/>
        </w:rPr>
        <w:t xml:space="preserve">I pagamenti saranno effettuati </w:t>
      </w:r>
      <w:r w:rsidRPr="002D1FCE">
        <w:rPr>
          <w:rFonts w:ascii="Titillium Web" w:hAnsi="Titillium Web" w:cstheme="minorHAnsi"/>
          <w:color w:val="000000" w:themeColor="text1"/>
          <w:sz w:val="22"/>
          <w:szCs w:val="22"/>
        </w:rPr>
        <w:t>ai sensi di legge</w:t>
      </w:r>
      <w:r>
        <w:rPr>
          <w:rFonts w:ascii="Titillium Web" w:hAnsi="Titillium Web" w:cstheme="minorHAnsi"/>
          <w:color w:val="000000" w:themeColor="text1"/>
          <w:sz w:val="22"/>
          <w:szCs w:val="22"/>
        </w:rPr>
        <w:t>.</w:t>
      </w:r>
    </w:p>
    <w:p w14:paraId="3D9D2755" w14:textId="011F20B6" w:rsidR="00453B8B" w:rsidRDefault="00B6366E" w:rsidP="002D1FCE">
      <w:pPr>
        <w:autoSpaceDE w:val="0"/>
        <w:autoSpaceDN w:val="0"/>
        <w:adjustRightInd w:val="0"/>
        <w:jc w:val="both"/>
        <w:rPr>
          <w:rFonts w:ascii="Titillium Web" w:hAnsi="Titillium Web" w:cstheme="minorHAnsi"/>
          <w:color w:val="000000" w:themeColor="text1"/>
          <w:sz w:val="22"/>
          <w:szCs w:val="22"/>
        </w:rPr>
      </w:pPr>
      <w:r>
        <w:rPr>
          <w:rFonts w:ascii="Titillium Web" w:hAnsi="Titillium Web" w:cstheme="minorHAnsi"/>
          <w:color w:val="000000" w:themeColor="text1"/>
          <w:sz w:val="22"/>
          <w:szCs w:val="22"/>
        </w:rPr>
        <w:lastRenderedPageBreak/>
        <w:t>La f</w:t>
      </w:r>
      <w:r w:rsidR="002D1FCE" w:rsidRPr="002D1FCE">
        <w:rPr>
          <w:rFonts w:ascii="Titillium Web" w:hAnsi="Titillium Web" w:cstheme="minorHAnsi"/>
          <w:color w:val="000000" w:themeColor="text1"/>
          <w:sz w:val="22"/>
          <w:szCs w:val="22"/>
        </w:rPr>
        <w:t xml:space="preserve">atturazione </w:t>
      </w:r>
      <w:r w:rsidR="002D1FCE">
        <w:rPr>
          <w:rFonts w:ascii="Titillium Web" w:hAnsi="Titillium Web" w:cstheme="minorHAnsi"/>
          <w:color w:val="000000" w:themeColor="text1"/>
          <w:sz w:val="22"/>
          <w:szCs w:val="22"/>
        </w:rPr>
        <w:t>avverrà in</w:t>
      </w:r>
      <w:r w:rsidR="002D1FCE" w:rsidRPr="002D1FCE">
        <w:rPr>
          <w:rFonts w:ascii="Titillium Web" w:hAnsi="Titillium Web" w:cstheme="minorHAnsi"/>
          <w:color w:val="000000" w:themeColor="text1"/>
          <w:sz w:val="22"/>
          <w:szCs w:val="22"/>
        </w:rPr>
        <w:t xml:space="preserve"> seguito </w:t>
      </w:r>
      <w:r>
        <w:rPr>
          <w:rFonts w:ascii="Titillium Web" w:hAnsi="Titillium Web" w:cstheme="minorHAnsi"/>
          <w:color w:val="000000" w:themeColor="text1"/>
          <w:sz w:val="22"/>
          <w:szCs w:val="22"/>
        </w:rPr>
        <w:t>all’</w:t>
      </w:r>
      <w:r w:rsidR="002D1FCE" w:rsidRPr="002D1FCE">
        <w:rPr>
          <w:rFonts w:ascii="Titillium Web" w:hAnsi="Titillium Web" w:cstheme="minorHAnsi"/>
          <w:color w:val="000000" w:themeColor="text1"/>
          <w:sz w:val="22"/>
          <w:szCs w:val="22"/>
        </w:rPr>
        <w:t>esito positivo del collaudo dell'apparecchiatura</w:t>
      </w:r>
      <w:r w:rsidR="002D1FCE">
        <w:rPr>
          <w:rFonts w:ascii="Titillium Web" w:hAnsi="Titillium Web" w:cstheme="minorHAnsi"/>
          <w:color w:val="000000" w:themeColor="text1"/>
          <w:sz w:val="22"/>
          <w:szCs w:val="22"/>
        </w:rPr>
        <w:t xml:space="preserve"> effettuato dall’appaltatore.</w:t>
      </w:r>
    </w:p>
    <w:p w14:paraId="22368BE2" w14:textId="3536E66A" w:rsidR="00672FE3" w:rsidRPr="00453B8B" w:rsidRDefault="00672FE3" w:rsidP="00672FE3">
      <w:pPr>
        <w:autoSpaceDE w:val="0"/>
        <w:autoSpaceDN w:val="0"/>
        <w:adjustRightInd w:val="0"/>
        <w:jc w:val="both"/>
        <w:rPr>
          <w:rFonts w:ascii="Titillium Web" w:hAnsi="Titillium Web" w:cstheme="minorHAnsi"/>
          <w:color w:val="000000" w:themeColor="text1"/>
          <w:sz w:val="22"/>
          <w:szCs w:val="22"/>
        </w:rPr>
      </w:pPr>
      <w:r w:rsidRPr="00672FE3">
        <w:rPr>
          <w:rFonts w:ascii="Titillium Web" w:hAnsi="Titillium Web" w:cstheme="minorHAnsi"/>
          <w:color w:val="000000" w:themeColor="text1"/>
          <w:sz w:val="22"/>
          <w:szCs w:val="22"/>
        </w:rPr>
        <w:t xml:space="preserve">La fattura dovrà essere intestata all’Università degli Studi di Napoli Federico II – Dipartimento di Agraria – P.zza Carlo di Borbone n.1, </w:t>
      </w:r>
      <w:r>
        <w:rPr>
          <w:rFonts w:ascii="Titillium Web" w:hAnsi="Titillium Web" w:cstheme="minorHAnsi"/>
          <w:color w:val="000000" w:themeColor="text1"/>
          <w:sz w:val="22"/>
          <w:szCs w:val="22"/>
        </w:rPr>
        <w:t>CAP</w:t>
      </w:r>
      <w:r w:rsidRPr="00672FE3">
        <w:rPr>
          <w:rFonts w:ascii="Titillium Web" w:hAnsi="Titillium Web" w:cstheme="minorHAnsi"/>
          <w:color w:val="000000" w:themeColor="text1"/>
          <w:sz w:val="22"/>
          <w:szCs w:val="22"/>
        </w:rPr>
        <w:t xml:space="preserve"> 80055 Portici ed inoltrata mediante il sistema di fatturazione elettronica il cui </w:t>
      </w:r>
      <w:r w:rsidRPr="00FE1D46">
        <w:rPr>
          <w:rFonts w:ascii="Titillium Web" w:hAnsi="Titillium Web" w:cstheme="minorHAnsi"/>
          <w:color w:val="000000" w:themeColor="text1"/>
          <w:sz w:val="22"/>
          <w:szCs w:val="22"/>
        </w:rPr>
        <w:t>CUU (Codice Univoco Ufficio) è Z2N20S.</w:t>
      </w:r>
    </w:p>
    <w:p w14:paraId="50FAC5FD" w14:textId="77777777" w:rsidR="00453B8B" w:rsidRPr="00BC2909" w:rsidRDefault="00453B8B" w:rsidP="00BC2909">
      <w:pPr>
        <w:autoSpaceDE w:val="0"/>
        <w:autoSpaceDN w:val="0"/>
        <w:adjustRightInd w:val="0"/>
        <w:spacing w:before="240"/>
        <w:jc w:val="both"/>
        <w:rPr>
          <w:rFonts w:ascii="Titillium Web" w:hAnsi="Titillium Web" w:cstheme="minorHAnsi"/>
          <w:b/>
          <w:bCs/>
          <w:color w:val="000000" w:themeColor="text1"/>
          <w:sz w:val="24"/>
          <w:szCs w:val="24"/>
        </w:rPr>
      </w:pPr>
      <w:r w:rsidRPr="00BC2909">
        <w:rPr>
          <w:rFonts w:ascii="Titillium Web" w:hAnsi="Titillium Web" w:cstheme="minorHAnsi"/>
          <w:b/>
          <w:bCs/>
          <w:color w:val="000000" w:themeColor="text1"/>
          <w:sz w:val="24"/>
          <w:szCs w:val="24"/>
        </w:rPr>
        <w:t>Art. 7 – Tracciabilità dei flussi finanziari</w:t>
      </w:r>
    </w:p>
    <w:p w14:paraId="3F8A5A25" w14:textId="77777777" w:rsidR="00453B8B" w:rsidRPr="00453B8B" w:rsidRDefault="00453B8B" w:rsidP="00453B8B">
      <w:pPr>
        <w:autoSpaceDE w:val="0"/>
        <w:autoSpaceDN w:val="0"/>
        <w:adjustRightInd w:val="0"/>
        <w:jc w:val="both"/>
        <w:rPr>
          <w:rFonts w:ascii="Titillium Web" w:hAnsi="Titillium Web" w:cstheme="minorHAnsi"/>
          <w:color w:val="000000" w:themeColor="text1"/>
          <w:sz w:val="22"/>
          <w:szCs w:val="22"/>
        </w:rPr>
      </w:pPr>
      <w:r w:rsidRPr="00453B8B">
        <w:rPr>
          <w:rFonts w:ascii="Titillium Web" w:hAnsi="Titillium Web" w:cstheme="minorHAnsi"/>
          <w:color w:val="000000" w:themeColor="text1"/>
          <w:sz w:val="22"/>
          <w:szCs w:val="22"/>
        </w:rPr>
        <w:t xml:space="preserve">L’Appaltatore è tenuto ad assolvere tutti gli obblighi previsti dall’art. 3 della legge n. 136/2010 al fine di assicurare la tracciabilità dei movimenti finanziari relativi all’appalto. In particolare, l’Appaltatore è tenuto: </w:t>
      </w:r>
    </w:p>
    <w:p w14:paraId="39B1121C" w14:textId="5E93ACDE" w:rsidR="00453B8B" w:rsidRPr="00BC51B9" w:rsidRDefault="00453B8B" w:rsidP="00BC51B9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tillium Web" w:hAnsi="Titillium Web" w:cstheme="minorHAnsi"/>
          <w:color w:val="000000" w:themeColor="text1"/>
          <w:sz w:val="22"/>
          <w:szCs w:val="22"/>
        </w:rPr>
      </w:pPr>
      <w:r w:rsidRPr="00BC51B9">
        <w:rPr>
          <w:rFonts w:ascii="Titillium Web" w:hAnsi="Titillium Web" w:cstheme="minorHAnsi"/>
          <w:color w:val="000000" w:themeColor="text1"/>
          <w:sz w:val="22"/>
          <w:szCs w:val="22"/>
        </w:rPr>
        <w:t xml:space="preserve">a comunicare alla Stazione appaltante i dati relativi al conto corrente dedicato sul quale saranno effettuati i versamenti dei corrispettivi dell’appalto; </w:t>
      </w:r>
    </w:p>
    <w:p w14:paraId="59109FC0" w14:textId="625BA5BA" w:rsidR="00453B8B" w:rsidRPr="00BC51B9" w:rsidRDefault="00453B8B" w:rsidP="00BC51B9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tillium Web" w:hAnsi="Titillium Web" w:cstheme="minorHAnsi"/>
          <w:color w:val="000000" w:themeColor="text1"/>
          <w:sz w:val="22"/>
          <w:szCs w:val="22"/>
        </w:rPr>
      </w:pPr>
      <w:r w:rsidRPr="00BC51B9">
        <w:rPr>
          <w:rFonts w:ascii="Titillium Web" w:hAnsi="Titillium Web" w:cstheme="minorHAnsi"/>
          <w:color w:val="000000" w:themeColor="text1"/>
          <w:sz w:val="22"/>
          <w:szCs w:val="22"/>
        </w:rPr>
        <w:t xml:space="preserve">ad effettuare ogni transazione relativa all’appalto avvalendosi di banche o Poste italiane Spa, esclusivamente con strumenti di pagamento consentiti dall’art. 3 della legge 136/2010; </w:t>
      </w:r>
    </w:p>
    <w:p w14:paraId="6DCD71F2" w14:textId="70F1ABAE" w:rsidR="00453B8B" w:rsidRPr="00BC51B9" w:rsidRDefault="00453B8B" w:rsidP="00BC51B9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tillium Web" w:hAnsi="Titillium Web" w:cstheme="minorHAnsi"/>
          <w:color w:val="000000" w:themeColor="text1"/>
          <w:sz w:val="22"/>
          <w:szCs w:val="22"/>
        </w:rPr>
      </w:pPr>
      <w:r w:rsidRPr="00BC51B9">
        <w:rPr>
          <w:rFonts w:ascii="Titillium Web" w:hAnsi="Titillium Web" w:cstheme="minorHAnsi"/>
          <w:color w:val="000000" w:themeColor="text1"/>
          <w:sz w:val="22"/>
          <w:szCs w:val="22"/>
        </w:rPr>
        <w:t xml:space="preserve">ad utilizzare il CIG nell’ambito dei rapporti con fornitori e prestatori di servizi impiegati nello sviluppo delle prestazioni dell’appalto. </w:t>
      </w:r>
    </w:p>
    <w:p w14:paraId="7D995203" w14:textId="77777777" w:rsidR="00453B8B" w:rsidRPr="00BC2909" w:rsidRDefault="00453B8B" w:rsidP="00BC2909">
      <w:pPr>
        <w:autoSpaceDE w:val="0"/>
        <w:autoSpaceDN w:val="0"/>
        <w:adjustRightInd w:val="0"/>
        <w:spacing w:before="240"/>
        <w:jc w:val="both"/>
        <w:rPr>
          <w:rFonts w:ascii="Titillium Web" w:hAnsi="Titillium Web" w:cstheme="minorHAnsi"/>
          <w:b/>
          <w:bCs/>
          <w:color w:val="000000" w:themeColor="text1"/>
          <w:sz w:val="24"/>
          <w:szCs w:val="24"/>
        </w:rPr>
      </w:pPr>
      <w:r w:rsidRPr="00BC2909">
        <w:rPr>
          <w:rFonts w:ascii="Titillium Web" w:hAnsi="Titillium Web" w:cstheme="minorHAnsi"/>
          <w:b/>
          <w:bCs/>
          <w:color w:val="000000" w:themeColor="text1"/>
          <w:sz w:val="24"/>
          <w:szCs w:val="24"/>
        </w:rPr>
        <w:t xml:space="preserve">Art. 8 – Subappalto </w:t>
      </w:r>
    </w:p>
    <w:p w14:paraId="7DEC3C17" w14:textId="77777777" w:rsidR="00453B8B" w:rsidRPr="00453B8B" w:rsidRDefault="00453B8B" w:rsidP="00453B8B">
      <w:pPr>
        <w:autoSpaceDE w:val="0"/>
        <w:autoSpaceDN w:val="0"/>
        <w:adjustRightInd w:val="0"/>
        <w:jc w:val="both"/>
        <w:rPr>
          <w:rFonts w:ascii="Titillium Web" w:hAnsi="Titillium Web" w:cstheme="minorHAnsi"/>
          <w:color w:val="000000" w:themeColor="text1"/>
          <w:sz w:val="22"/>
          <w:szCs w:val="22"/>
        </w:rPr>
      </w:pPr>
      <w:r w:rsidRPr="00453B8B">
        <w:rPr>
          <w:rFonts w:ascii="Titillium Web" w:hAnsi="Titillium Web" w:cstheme="minorHAnsi"/>
          <w:color w:val="000000" w:themeColor="text1"/>
          <w:sz w:val="22"/>
          <w:szCs w:val="22"/>
        </w:rPr>
        <w:t>L’Appaltatore ha dichiarato in sede d’offerta di volersi avvalere della facoltà di subappalto di parte della fornitura, in misura pari a ___</w:t>
      </w:r>
    </w:p>
    <w:p w14:paraId="6ACA3A0F" w14:textId="77777777" w:rsidR="00453B8B" w:rsidRPr="00453B8B" w:rsidRDefault="00453B8B" w:rsidP="00B041A8">
      <w:pPr>
        <w:autoSpaceDE w:val="0"/>
        <w:autoSpaceDN w:val="0"/>
        <w:adjustRightInd w:val="0"/>
        <w:spacing w:before="120" w:after="120"/>
        <w:jc w:val="both"/>
        <w:rPr>
          <w:rFonts w:ascii="Titillium Web" w:hAnsi="Titillium Web" w:cstheme="minorHAnsi"/>
          <w:color w:val="000000" w:themeColor="text1"/>
          <w:sz w:val="22"/>
          <w:szCs w:val="22"/>
        </w:rPr>
      </w:pPr>
      <w:r w:rsidRPr="00453B8B">
        <w:rPr>
          <w:rFonts w:ascii="Titillium Web" w:hAnsi="Titillium Web" w:cstheme="minorHAnsi"/>
          <w:color w:val="000000" w:themeColor="text1"/>
          <w:sz w:val="22"/>
          <w:szCs w:val="22"/>
        </w:rPr>
        <w:t>[oppure]</w:t>
      </w:r>
    </w:p>
    <w:p w14:paraId="6B224D74" w14:textId="77777777" w:rsidR="00453B8B" w:rsidRPr="00453B8B" w:rsidRDefault="00453B8B" w:rsidP="00453B8B">
      <w:pPr>
        <w:autoSpaceDE w:val="0"/>
        <w:autoSpaceDN w:val="0"/>
        <w:adjustRightInd w:val="0"/>
        <w:jc w:val="both"/>
        <w:rPr>
          <w:rFonts w:ascii="Titillium Web" w:hAnsi="Titillium Web" w:cstheme="minorHAnsi"/>
          <w:color w:val="000000" w:themeColor="text1"/>
          <w:sz w:val="22"/>
          <w:szCs w:val="22"/>
        </w:rPr>
      </w:pPr>
      <w:r w:rsidRPr="00453B8B">
        <w:rPr>
          <w:rFonts w:ascii="Titillium Web" w:hAnsi="Titillium Web" w:cstheme="minorHAnsi"/>
          <w:color w:val="000000" w:themeColor="text1"/>
          <w:sz w:val="22"/>
          <w:szCs w:val="22"/>
        </w:rPr>
        <w:t>L’Appaltatore non ha dichiarato in sede di gara di volersi avvalere della facoltà di subappalto. Pertanto, l’operatore non potrà essere autorizzato a subappaltare la fornitura di cui al presente contratto.</w:t>
      </w:r>
    </w:p>
    <w:p w14:paraId="1E024CA9" w14:textId="77777777" w:rsidR="00453B8B" w:rsidRPr="00B041A8" w:rsidRDefault="00453B8B" w:rsidP="00B041A8">
      <w:pPr>
        <w:autoSpaceDE w:val="0"/>
        <w:autoSpaceDN w:val="0"/>
        <w:adjustRightInd w:val="0"/>
        <w:spacing w:before="240"/>
        <w:jc w:val="both"/>
        <w:rPr>
          <w:rFonts w:ascii="Titillium Web" w:hAnsi="Titillium Web" w:cstheme="minorHAnsi"/>
          <w:b/>
          <w:bCs/>
          <w:color w:val="000000" w:themeColor="text1"/>
          <w:sz w:val="24"/>
          <w:szCs w:val="24"/>
        </w:rPr>
      </w:pPr>
      <w:r w:rsidRPr="00B041A8">
        <w:rPr>
          <w:rFonts w:ascii="Titillium Web" w:hAnsi="Titillium Web" w:cstheme="minorHAnsi"/>
          <w:b/>
          <w:bCs/>
          <w:color w:val="000000" w:themeColor="text1"/>
          <w:sz w:val="24"/>
          <w:szCs w:val="24"/>
        </w:rPr>
        <w:t>Art. 9 – Spese contrattuali e oneri fiscali</w:t>
      </w:r>
    </w:p>
    <w:p w14:paraId="5943AA10" w14:textId="77777777" w:rsidR="00453B8B" w:rsidRPr="00453B8B" w:rsidRDefault="00453B8B" w:rsidP="00453B8B">
      <w:pPr>
        <w:autoSpaceDE w:val="0"/>
        <w:autoSpaceDN w:val="0"/>
        <w:adjustRightInd w:val="0"/>
        <w:jc w:val="both"/>
        <w:rPr>
          <w:rFonts w:ascii="Titillium Web" w:hAnsi="Titillium Web" w:cstheme="minorHAnsi"/>
          <w:color w:val="000000" w:themeColor="text1"/>
          <w:sz w:val="22"/>
          <w:szCs w:val="22"/>
        </w:rPr>
      </w:pPr>
      <w:r w:rsidRPr="00453B8B">
        <w:rPr>
          <w:rFonts w:ascii="Titillium Web" w:hAnsi="Titillium Web" w:cstheme="minorHAnsi"/>
          <w:color w:val="000000" w:themeColor="text1"/>
          <w:sz w:val="22"/>
          <w:szCs w:val="22"/>
        </w:rPr>
        <w:t>Sono a carico dell'Appaltatore tutte le spese contrattuali, gli oneri fiscali quali imposte e tasse - ivi comprese quelle di registro ove dovute - relative alla stipulazione del contratto nonché ogni altro onere fiscale presente e futuro che per legge non sia inderogabilmente posto a carico della Stazione appaltante.</w:t>
      </w:r>
    </w:p>
    <w:p w14:paraId="13E00A45" w14:textId="77777777" w:rsidR="00453B8B" w:rsidRPr="00B041A8" w:rsidRDefault="00453B8B" w:rsidP="00B041A8">
      <w:pPr>
        <w:autoSpaceDE w:val="0"/>
        <w:autoSpaceDN w:val="0"/>
        <w:adjustRightInd w:val="0"/>
        <w:spacing w:before="240"/>
        <w:jc w:val="both"/>
        <w:rPr>
          <w:rFonts w:ascii="Titillium Web" w:hAnsi="Titillium Web" w:cstheme="minorHAnsi"/>
          <w:b/>
          <w:bCs/>
          <w:color w:val="000000" w:themeColor="text1"/>
          <w:sz w:val="24"/>
          <w:szCs w:val="24"/>
        </w:rPr>
      </w:pPr>
      <w:r w:rsidRPr="00B041A8">
        <w:rPr>
          <w:rFonts w:ascii="Titillium Web" w:hAnsi="Titillium Web" w:cstheme="minorHAnsi"/>
          <w:b/>
          <w:bCs/>
          <w:color w:val="000000" w:themeColor="text1"/>
          <w:sz w:val="24"/>
          <w:szCs w:val="24"/>
        </w:rPr>
        <w:t>Art. 10 – Definizione delle controversie</w:t>
      </w:r>
    </w:p>
    <w:p w14:paraId="14F6C678" w14:textId="77777777" w:rsidR="00453B8B" w:rsidRPr="00453B8B" w:rsidRDefault="00453B8B" w:rsidP="00453B8B">
      <w:pPr>
        <w:autoSpaceDE w:val="0"/>
        <w:autoSpaceDN w:val="0"/>
        <w:adjustRightInd w:val="0"/>
        <w:jc w:val="both"/>
        <w:rPr>
          <w:rFonts w:ascii="Titillium Web" w:hAnsi="Titillium Web" w:cstheme="minorHAnsi"/>
          <w:color w:val="000000" w:themeColor="text1"/>
          <w:sz w:val="22"/>
          <w:szCs w:val="22"/>
        </w:rPr>
      </w:pPr>
      <w:r w:rsidRPr="00453B8B">
        <w:rPr>
          <w:rFonts w:ascii="Titillium Web" w:hAnsi="Titillium Web" w:cstheme="minorHAnsi"/>
          <w:color w:val="000000" w:themeColor="text1"/>
          <w:sz w:val="22"/>
          <w:szCs w:val="22"/>
        </w:rPr>
        <w:t xml:space="preserve">Per le eventuali controversie che dovessero insorgere sia durante l'esecuzione del contratto che al termine del contratto stesso tra la Stazione appaltante e l’Appaltatore, che non si siano potute definire con l’accordo bonario ai sensi dell’art. 211 del </w:t>
      </w:r>
      <w:proofErr w:type="spellStart"/>
      <w:r w:rsidRPr="00453B8B">
        <w:rPr>
          <w:rFonts w:ascii="Titillium Web" w:hAnsi="Titillium Web" w:cstheme="minorHAnsi"/>
          <w:color w:val="000000" w:themeColor="text1"/>
          <w:sz w:val="22"/>
          <w:szCs w:val="22"/>
        </w:rPr>
        <w:t>D.Lgs.</w:t>
      </w:r>
      <w:proofErr w:type="spellEnd"/>
      <w:r w:rsidRPr="00453B8B">
        <w:rPr>
          <w:rFonts w:ascii="Titillium Web" w:hAnsi="Titillium Web" w:cstheme="minorHAnsi"/>
          <w:color w:val="000000" w:themeColor="text1"/>
          <w:sz w:val="22"/>
          <w:szCs w:val="22"/>
        </w:rPr>
        <w:t xml:space="preserve"> 36/2023, è competente in via esclusiva il Foro di Napoli.</w:t>
      </w:r>
    </w:p>
    <w:p w14:paraId="5A28B56B" w14:textId="77777777" w:rsidR="00453B8B" w:rsidRPr="00453B8B" w:rsidRDefault="00453B8B" w:rsidP="00453B8B">
      <w:pPr>
        <w:autoSpaceDE w:val="0"/>
        <w:autoSpaceDN w:val="0"/>
        <w:adjustRightInd w:val="0"/>
        <w:jc w:val="both"/>
        <w:rPr>
          <w:rFonts w:ascii="Titillium Web" w:hAnsi="Titillium Web" w:cstheme="minorHAnsi"/>
          <w:color w:val="000000" w:themeColor="text1"/>
          <w:sz w:val="22"/>
          <w:szCs w:val="22"/>
        </w:rPr>
      </w:pPr>
    </w:p>
    <w:p w14:paraId="66C4C32E" w14:textId="77777777" w:rsidR="00453B8B" w:rsidRPr="00453B8B" w:rsidRDefault="00453B8B" w:rsidP="00453B8B">
      <w:pPr>
        <w:autoSpaceDE w:val="0"/>
        <w:autoSpaceDN w:val="0"/>
        <w:adjustRightInd w:val="0"/>
        <w:jc w:val="both"/>
        <w:rPr>
          <w:rFonts w:ascii="Titillium Web" w:hAnsi="Titillium Web" w:cstheme="minorHAnsi"/>
          <w:color w:val="000000" w:themeColor="text1"/>
          <w:sz w:val="22"/>
          <w:szCs w:val="22"/>
        </w:rPr>
      </w:pPr>
      <w:r w:rsidRPr="00453B8B">
        <w:rPr>
          <w:rFonts w:ascii="Titillium Web" w:hAnsi="Titillium Web" w:cstheme="minorHAnsi"/>
          <w:color w:val="000000" w:themeColor="text1"/>
          <w:sz w:val="22"/>
          <w:szCs w:val="22"/>
        </w:rPr>
        <w:t>[Data e luogo]</w:t>
      </w:r>
    </w:p>
    <w:p w14:paraId="25809879" w14:textId="77777777" w:rsidR="00453B8B" w:rsidRPr="00453B8B" w:rsidRDefault="00453B8B" w:rsidP="00453B8B">
      <w:pPr>
        <w:autoSpaceDE w:val="0"/>
        <w:autoSpaceDN w:val="0"/>
        <w:adjustRightInd w:val="0"/>
        <w:jc w:val="both"/>
        <w:rPr>
          <w:rFonts w:ascii="Titillium Web" w:hAnsi="Titillium Web" w:cstheme="minorHAnsi"/>
          <w:color w:val="000000" w:themeColor="text1"/>
          <w:sz w:val="22"/>
          <w:szCs w:val="22"/>
        </w:rPr>
      </w:pPr>
    </w:p>
    <w:p w14:paraId="51662EDA" w14:textId="77777777" w:rsidR="00453B8B" w:rsidRPr="00453B8B" w:rsidRDefault="00453B8B" w:rsidP="00453B8B">
      <w:pPr>
        <w:autoSpaceDE w:val="0"/>
        <w:autoSpaceDN w:val="0"/>
        <w:adjustRightInd w:val="0"/>
        <w:jc w:val="both"/>
        <w:rPr>
          <w:rFonts w:ascii="Titillium Web" w:hAnsi="Titillium Web" w:cstheme="minorHAnsi"/>
          <w:color w:val="000000" w:themeColor="text1"/>
          <w:sz w:val="22"/>
          <w:szCs w:val="22"/>
        </w:rPr>
      </w:pPr>
      <w:r w:rsidRPr="00453B8B">
        <w:rPr>
          <w:rFonts w:ascii="Titillium Web" w:hAnsi="Titillium Web" w:cstheme="minorHAnsi"/>
          <w:color w:val="000000" w:themeColor="text1"/>
          <w:sz w:val="22"/>
          <w:szCs w:val="22"/>
        </w:rPr>
        <w:t>Per la Stazione appaltante</w:t>
      </w:r>
    </w:p>
    <w:p w14:paraId="58203351" w14:textId="77777777" w:rsidR="00453B8B" w:rsidRPr="00453B8B" w:rsidRDefault="00453B8B" w:rsidP="00453B8B">
      <w:pPr>
        <w:autoSpaceDE w:val="0"/>
        <w:autoSpaceDN w:val="0"/>
        <w:adjustRightInd w:val="0"/>
        <w:jc w:val="both"/>
        <w:rPr>
          <w:rFonts w:ascii="Titillium Web" w:hAnsi="Titillium Web" w:cstheme="minorHAnsi"/>
          <w:color w:val="000000" w:themeColor="text1"/>
          <w:sz w:val="22"/>
          <w:szCs w:val="22"/>
        </w:rPr>
      </w:pPr>
      <w:r w:rsidRPr="00453B8B">
        <w:rPr>
          <w:rFonts w:ascii="Titillium Web" w:hAnsi="Titillium Web" w:cstheme="minorHAnsi"/>
          <w:color w:val="000000" w:themeColor="text1"/>
          <w:sz w:val="22"/>
          <w:szCs w:val="22"/>
        </w:rPr>
        <w:t>______________________</w:t>
      </w:r>
    </w:p>
    <w:p w14:paraId="665D8743" w14:textId="77777777" w:rsidR="00453B8B" w:rsidRPr="00453B8B" w:rsidRDefault="00453B8B" w:rsidP="00453B8B">
      <w:pPr>
        <w:autoSpaceDE w:val="0"/>
        <w:autoSpaceDN w:val="0"/>
        <w:adjustRightInd w:val="0"/>
        <w:jc w:val="both"/>
        <w:rPr>
          <w:rFonts w:ascii="Titillium Web" w:hAnsi="Titillium Web" w:cstheme="minorHAnsi"/>
          <w:color w:val="000000" w:themeColor="text1"/>
          <w:sz w:val="22"/>
          <w:szCs w:val="22"/>
        </w:rPr>
      </w:pPr>
    </w:p>
    <w:p w14:paraId="2D1AF134" w14:textId="77777777" w:rsidR="00453B8B" w:rsidRPr="00453B8B" w:rsidRDefault="00453B8B" w:rsidP="00453B8B">
      <w:pPr>
        <w:autoSpaceDE w:val="0"/>
        <w:autoSpaceDN w:val="0"/>
        <w:adjustRightInd w:val="0"/>
        <w:jc w:val="both"/>
        <w:rPr>
          <w:rFonts w:ascii="Titillium Web" w:hAnsi="Titillium Web" w:cstheme="minorHAnsi"/>
          <w:color w:val="000000" w:themeColor="text1"/>
          <w:sz w:val="22"/>
          <w:szCs w:val="22"/>
        </w:rPr>
      </w:pPr>
    </w:p>
    <w:p w14:paraId="7DA425E3" w14:textId="77777777" w:rsidR="00453B8B" w:rsidRPr="00453B8B" w:rsidRDefault="00453B8B" w:rsidP="00453B8B">
      <w:pPr>
        <w:autoSpaceDE w:val="0"/>
        <w:autoSpaceDN w:val="0"/>
        <w:adjustRightInd w:val="0"/>
        <w:jc w:val="both"/>
        <w:rPr>
          <w:rFonts w:ascii="Titillium Web" w:hAnsi="Titillium Web" w:cstheme="minorHAnsi"/>
          <w:color w:val="000000" w:themeColor="text1"/>
          <w:sz w:val="22"/>
          <w:szCs w:val="22"/>
        </w:rPr>
      </w:pPr>
      <w:r w:rsidRPr="00453B8B">
        <w:rPr>
          <w:rFonts w:ascii="Titillium Web" w:hAnsi="Titillium Web" w:cstheme="minorHAnsi"/>
          <w:color w:val="000000" w:themeColor="text1"/>
          <w:sz w:val="22"/>
          <w:szCs w:val="22"/>
        </w:rPr>
        <w:t>Per l’Appaltatore</w:t>
      </w:r>
    </w:p>
    <w:p w14:paraId="1D4E790B" w14:textId="77777777" w:rsidR="00453B8B" w:rsidRPr="00453B8B" w:rsidRDefault="00453B8B" w:rsidP="00453B8B">
      <w:pPr>
        <w:autoSpaceDE w:val="0"/>
        <w:autoSpaceDN w:val="0"/>
        <w:adjustRightInd w:val="0"/>
        <w:jc w:val="both"/>
        <w:rPr>
          <w:rFonts w:ascii="Titillium Web" w:hAnsi="Titillium Web" w:cstheme="minorHAnsi"/>
          <w:color w:val="000000" w:themeColor="text1"/>
          <w:sz w:val="22"/>
          <w:szCs w:val="22"/>
        </w:rPr>
      </w:pPr>
      <w:r w:rsidRPr="00453B8B">
        <w:rPr>
          <w:rFonts w:ascii="Titillium Web" w:hAnsi="Titillium Web" w:cstheme="minorHAnsi"/>
          <w:color w:val="000000" w:themeColor="text1"/>
          <w:sz w:val="22"/>
          <w:szCs w:val="22"/>
        </w:rPr>
        <w:t>______________________</w:t>
      </w:r>
    </w:p>
    <w:p w14:paraId="08416BFB" w14:textId="77777777" w:rsidR="003208A8" w:rsidRDefault="003208A8" w:rsidP="001D0F17">
      <w:pPr>
        <w:autoSpaceDE w:val="0"/>
        <w:autoSpaceDN w:val="0"/>
        <w:adjustRightInd w:val="0"/>
        <w:jc w:val="center"/>
        <w:rPr>
          <w:rFonts w:ascii="Titillium Web" w:hAnsi="Titillium Web" w:cstheme="minorHAnsi"/>
          <w:color w:val="000000" w:themeColor="text1"/>
          <w:sz w:val="22"/>
          <w:szCs w:val="22"/>
        </w:rPr>
      </w:pPr>
    </w:p>
    <w:sectPr w:rsidR="003208A8" w:rsidSect="002E123B">
      <w:headerReference w:type="default" r:id="rId8"/>
      <w:footerReference w:type="default" r:id="rId9"/>
      <w:endnotePr>
        <w:numFmt w:val="decimal"/>
        <w:numStart w:val="3"/>
      </w:endnotePr>
      <w:pgSz w:w="11906" w:h="16838"/>
      <w:pgMar w:top="720" w:right="720" w:bottom="426" w:left="72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173F1" w14:textId="77777777" w:rsidR="00973FB5" w:rsidRDefault="00973FB5" w:rsidP="009A3B9F">
      <w:r>
        <w:separator/>
      </w:r>
    </w:p>
  </w:endnote>
  <w:endnote w:type="continuationSeparator" w:id="0">
    <w:p w14:paraId="2FA8DB3E" w14:textId="77777777" w:rsidR="00973FB5" w:rsidRDefault="00973FB5" w:rsidP="009A3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tillium Web"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tillium Web" w:hAnsi="Titillium Web"/>
      </w:rPr>
      <w:id w:val="-18059217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DF0C03" w14:textId="5129C42B" w:rsidR="00B6366E" w:rsidRPr="00463E00" w:rsidRDefault="00B6366E" w:rsidP="00B6366E">
        <w:pPr>
          <w:pStyle w:val="Pidipagina"/>
          <w:jc w:val="center"/>
          <w:rPr>
            <w:rFonts w:ascii="Titillium Web" w:hAnsi="Titillium Web"/>
          </w:rPr>
        </w:pPr>
        <w:r w:rsidRPr="00463E00">
          <w:rPr>
            <w:rFonts w:ascii="Titillium Web" w:hAnsi="Titillium Web"/>
          </w:rPr>
          <w:fldChar w:fldCharType="begin"/>
        </w:r>
        <w:r w:rsidRPr="00463E00">
          <w:rPr>
            <w:rFonts w:ascii="Titillium Web" w:hAnsi="Titillium Web"/>
          </w:rPr>
          <w:instrText xml:space="preserve"> PAGE   \* MERGEFORMAT </w:instrText>
        </w:r>
        <w:r w:rsidRPr="00463E00">
          <w:rPr>
            <w:rFonts w:ascii="Titillium Web" w:hAnsi="Titillium Web"/>
          </w:rPr>
          <w:fldChar w:fldCharType="separate"/>
        </w:r>
        <w:r w:rsidRPr="00463E00">
          <w:rPr>
            <w:rFonts w:ascii="Titillium Web" w:hAnsi="Titillium Web"/>
            <w:noProof/>
          </w:rPr>
          <w:t>2</w:t>
        </w:r>
        <w:r w:rsidRPr="00463E00">
          <w:rPr>
            <w:rFonts w:ascii="Titillium Web" w:hAnsi="Titillium Web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814D3" w14:textId="77777777" w:rsidR="00973FB5" w:rsidRDefault="00973FB5" w:rsidP="009A3B9F">
      <w:r>
        <w:separator/>
      </w:r>
    </w:p>
  </w:footnote>
  <w:footnote w:type="continuationSeparator" w:id="0">
    <w:p w14:paraId="222697C3" w14:textId="77777777" w:rsidR="00973FB5" w:rsidRDefault="00973FB5" w:rsidP="009A3B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7D855" w14:textId="66FCA51E" w:rsidR="00C41878" w:rsidRPr="00CE4F00" w:rsidRDefault="0080512F" w:rsidP="00CE4F00">
    <w:pPr>
      <w:autoSpaceDE w:val="0"/>
      <w:autoSpaceDN w:val="0"/>
      <w:adjustRightInd w:val="0"/>
      <w:jc w:val="center"/>
      <w:rPr>
        <w:rFonts w:ascii="Titillium Web" w:hAnsi="Titillium Web" w:cstheme="minorHAnsi"/>
        <w:b/>
        <w:color w:val="000000" w:themeColor="text1"/>
        <w:sz w:val="24"/>
        <w:szCs w:val="24"/>
        <w:lang w:val="en-US"/>
      </w:rPr>
    </w:pPr>
    <w:r>
      <w:rPr>
        <w:noProof/>
      </w:rPr>
      <w:drawing>
        <wp:inline distT="0" distB="0" distL="0" distR="0" wp14:anchorId="56105D94" wp14:editId="77E799B4">
          <wp:extent cx="6645910" cy="640715"/>
          <wp:effectExtent l="0" t="0" r="2540" b="6985"/>
          <wp:docPr id="1207627708" name="Immagine 12076277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640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D5917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4AA8D3" wp14:editId="43C86EFE">
              <wp:simplePos x="0" y="0"/>
              <wp:positionH relativeFrom="column">
                <wp:posOffset>-453390</wp:posOffset>
              </wp:positionH>
              <wp:positionV relativeFrom="paragraph">
                <wp:posOffset>-74930</wp:posOffset>
              </wp:positionV>
              <wp:extent cx="13335" cy="9147810"/>
              <wp:effectExtent l="0" t="0" r="5715" b="0"/>
              <wp:wrapNone/>
              <wp:docPr id="4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13335" cy="914781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CCFFCC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E46A9B" id="Line 10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7pt,-5.9pt" to="-34.65pt,7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" strokecolor="#cfc"/>
          </w:pict>
        </mc:Fallback>
      </mc:AlternateContent>
    </w:r>
    <w:r w:rsidR="00C41878" w:rsidRPr="00C10221">
      <w:rPr>
        <w:b/>
        <w:sz w:val="24"/>
        <w:szCs w:val="24"/>
        <w:lang w:val="en-US"/>
      </w:rPr>
      <w:t xml:space="preserve">                                  </w:t>
    </w:r>
    <w:r w:rsidR="00C41878">
      <w:ptab w:relativeTo="margin" w:alignment="center" w:leader="none"/>
    </w:r>
    <w:r w:rsidR="00C41878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57B2"/>
    <w:multiLevelType w:val="hybridMultilevel"/>
    <w:tmpl w:val="396431CC"/>
    <w:lvl w:ilvl="0" w:tplc="EB34AFFC">
      <w:start w:val="4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9070442"/>
    <w:multiLevelType w:val="hybridMultilevel"/>
    <w:tmpl w:val="DB12F7CC"/>
    <w:lvl w:ilvl="0" w:tplc="040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F6F3FD9"/>
    <w:multiLevelType w:val="hybridMultilevel"/>
    <w:tmpl w:val="43268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24561"/>
    <w:multiLevelType w:val="hybridMultilevel"/>
    <w:tmpl w:val="68DACB9A"/>
    <w:lvl w:ilvl="0" w:tplc="B234FA5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E16A0"/>
    <w:multiLevelType w:val="hybridMultilevel"/>
    <w:tmpl w:val="7800FD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62C68"/>
    <w:multiLevelType w:val="hybridMultilevel"/>
    <w:tmpl w:val="76DC5200"/>
    <w:lvl w:ilvl="0" w:tplc="04090003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6" w15:restartNumberingAfterBreak="0">
    <w:nsid w:val="2B0B0726"/>
    <w:multiLevelType w:val="hybridMultilevel"/>
    <w:tmpl w:val="2F123BA6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B0E151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90A34"/>
    <w:multiLevelType w:val="hybridMultilevel"/>
    <w:tmpl w:val="161445DC"/>
    <w:lvl w:ilvl="0" w:tplc="9C90C916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7B0B67"/>
    <w:multiLevelType w:val="hybridMultilevel"/>
    <w:tmpl w:val="5E508A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85685A"/>
    <w:multiLevelType w:val="hybridMultilevel"/>
    <w:tmpl w:val="F0A2226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8CD445C8">
      <w:numFmt w:val="bullet"/>
      <w:lvlText w:val="-"/>
      <w:lvlJc w:val="left"/>
      <w:pPr>
        <w:ind w:left="1980" w:hanging="900"/>
      </w:pPr>
      <w:rPr>
        <w:rFonts w:ascii="Titillium Web" w:eastAsia="Times New Roman" w:hAnsi="Titillium Web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6B5B59"/>
    <w:multiLevelType w:val="hybridMultilevel"/>
    <w:tmpl w:val="81D2B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F04F59"/>
    <w:multiLevelType w:val="hybridMultilevel"/>
    <w:tmpl w:val="A25E62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D41D61"/>
    <w:multiLevelType w:val="hybridMultilevel"/>
    <w:tmpl w:val="7F7655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F310704"/>
    <w:multiLevelType w:val="hybridMultilevel"/>
    <w:tmpl w:val="AA949564"/>
    <w:lvl w:ilvl="0" w:tplc="F28A3B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7071A6"/>
    <w:multiLevelType w:val="hybridMultilevel"/>
    <w:tmpl w:val="6CC66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2023924">
    <w:abstractNumId w:val="7"/>
  </w:num>
  <w:num w:numId="2" w16cid:durableId="6754142">
    <w:abstractNumId w:val="14"/>
  </w:num>
  <w:num w:numId="3" w16cid:durableId="477308415">
    <w:abstractNumId w:val="9"/>
  </w:num>
  <w:num w:numId="4" w16cid:durableId="1596206143">
    <w:abstractNumId w:val="6"/>
  </w:num>
  <w:num w:numId="5" w16cid:durableId="1094789747">
    <w:abstractNumId w:val="5"/>
  </w:num>
  <w:num w:numId="6" w16cid:durableId="1689023782">
    <w:abstractNumId w:val="1"/>
  </w:num>
  <w:num w:numId="7" w16cid:durableId="402607893">
    <w:abstractNumId w:val="10"/>
  </w:num>
  <w:num w:numId="8" w16cid:durableId="819083022">
    <w:abstractNumId w:val="13"/>
  </w:num>
  <w:num w:numId="9" w16cid:durableId="1439135364">
    <w:abstractNumId w:val="8"/>
  </w:num>
  <w:num w:numId="10" w16cid:durableId="1740397799">
    <w:abstractNumId w:val="2"/>
  </w:num>
  <w:num w:numId="11" w16cid:durableId="1234776809">
    <w:abstractNumId w:val="3"/>
  </w:num>
  <w:num w:numId="12" w16cid:durableId="764880303">
    <w:abstractNumId w:val="12"/>
  </w:num>
  <w:num w:numId="13" w16cid:durableId="275914016">
    <w:abstractNumId w:val="0"/>
  </w:num>
  <w:num w:numId="14" w16cid:durableId="106697929">
    <w:abstractNumId w:val="4"/>
  </w:num>
  <w:num w:numId="15" w16cid:durableId="1276326923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numStart w:val="3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B9F"/>
    <w:rsid w:val="00004552"/>
    <w:rsid w:val="00016BE9"/>
    <w:rsid w:val="00022590"/>
    <w:rsid w:val="00032FB1"/>
    <w:rsid w:val="00047A22"/>
    <w:rsid w:val="000924FF"/>
    <w:rsid w:val="000A5A98"/>
    <w:rsid w:val="000B3B9B"/>
    <w:rsid w:val="000D4CE0"/>
    <w:rsid w:val="000D5FC7"/>
    <w:rsid w:val="000E6BB2"/>
    <w:rsid w:val="001003EA"/>
    <w:rsid w:val="00111263"/>
    <w:rsid w:val="00112EF4"/>
    <w:rsid w:val="0012477E"/>
    <w:rsid w:val="00135ED6"/>
    <w:rsid w:val="00185099"/>
    <w:rsid w:val="001D0F17"/>
    <w:rsid w:val="001D5E88"/>
    <w:rsid w:val="00202B61"/>
    <w:rsid w:val="002157BD"/>
    <w:rsid w:val="00237657"/>
    <w:rsid w:val="0025211E"/>
    <w:rsid w:val="00253416"/>
    <w:rsid w:val="00291CE1"/>
    <w:rsid w:val="002A3DBE"/>
    <w:rsid w:val="002B5F05"/>
    <w:rsid w:val="002D1FCE"/>
    <w:rsid w:val="002E0656"/>
    <w:rsid w:val="002E123B"/>
    <w:rsid w:val="002E7B3F"/>
    <w:rsid w:val="002F07A1"/>
    <w:rsid w:val="003058E7"/>
    <w:rsid w:val="00305B31"/>
    <w:rsid w:val="00317D3B"/>
    <w:rsid w:val="003208A8"/>
    <w:rsid w:val="00331527"/>
    <w:rsid w:val="00353A57"/>
    <w:rsid w:val="003654B4"/>
    <w:rsid w:val="00371A6D"/>
    <w:rsid w:val="00383A14"/>
    <w:rsid w:val="00386FFA"/>
    <w:rsid w:val="00396527"/>
    <w:rsid w:val="003A5EB7"/>
    <w:rsid w:val="003A7240"/>
    <w:rsid w:val="003B2971"/>
    <w:rsid w:val="003C0DEC"/>
    <w:rsid w:val="003C0EDC"/>
    <w:rsid w:val="003C1844"/>
    <w:rsid w:val="003C31D4"/>
    <w:rsid w:val="003D3111"/>
    <w:rsid w:val="003D5F2C"/>
    <w:rsid w:val="003E1534"/>
    <w:rsid w:val="00421FE6"/>
    <w:rsid w:val="00440320"/>
    <w:rsid w:val="00453B8B"/>
    <w:rsid w:val="00454BB3"/>
    <w:rsid w:val="004635A3"/>
    <w:rsid w:val="00463E00"/>
    <w:rsid w:val="004644EE"/>
    <w:rsid w:val="00474866"/>
    <w:rsid w:val="00481746"/>
    <w:rsid w:val="0049099D"/>
    <w:rsid w:val="00495406"/>
    <w:rsid w:val="004D6D3D"/>
    <w:rsid w:val="004F0BD9"/>
    <w:rsid w:val="005042EA"/>
    <w:rsid w:val="005047CA"/>
    <w:rsid w:val="00506293"/>
    <w:rsid w:val="00511EA2"/>
    <w:rsid w:val="00512AE5"/>
    <w:rsid w:val="00523237"/>
    <w:rsid w:val="00530CF9"/>
    <w:rsid w:val="005565AA"/>
    <w:rsid w:val="00557D60"/>
    <w:rsid w:val="00561253"/>
    <w:rsid w:val="005763B3"/>
    <w:rsid w:val="00580A5B"/>
    <w:rsid w:val="0058146C"/>
    <w:rsid w:val="00584035"/>
    <w:rsid w:val="00584514"/>
    <w:rsid w:val="005861E5"/>
    <w:rsid w:val="005C23E4"/>
    <w:rsid w:val="005D1174"/>
    <w:rsid w:val="005E3E02"/>
    <w:rsid w:val="005F1180"/>
    <w:rsid w:val="005F1D4E"/>
    <w:rsid w:val="00614894"/>
    <w:rsid w:val="00630515"/>
    <w:rsid w:val="00630717"/>
    <w:rsid w:val="006539CF"/>
    <w:rsid w:val="006716CC"/>
    <w:rsid w:val="006718EA"/>
    <w:rsid w:val="00672FE3"/>
    <w:rsid w:val="0068315B"/>
    <w:rsid w:val="00697F58"/>
    <w:rsid w:val="006B001B"/>
    <w:rsid w:val="006E2B28"/>
    <w:rsid w:val="006F7ED4"/>
    <w:rsid w:val="007100C0"/>
    <w:rsid w:val="007177BB"/>
    <w:rsid w:val="00722AA5"/>
    <w:rsid w:val="007330BB"/>
    <w:rsid w:val="007520CF"/>
    <w:rsid w:val="007549CE"/>
    <w:rsid w:val="0077047B"/>
    <w:rsid w:val="00770F4D"/>
    <w:rsid w:val="00773FAF"/>
    <w:rsid w:val="00786493"/>
    <w:rsid w:val="007947ED"/>
    <w:rsid w:val="007A1C68"/>
    <w:rsid w:val="007B2C09"/>
    <w:rsid w:val="007B7645"/>
    <w:rsid w:val="007D1231"/>
    <w:rsid w:val="007D35F8"/>
    <w:rsid w:val="007E3314"/>
    <w:rsid w:val="0080512F"/>
    <w:rsid w:val="0081301C"/>
    <w:rsid w:val="00827826"/>
    <w:rsid w:val="00831374"/>
    <w:rsid w:val="00832D75"/>
    <w:rsid w:val="0087524C"/>
    <w:rsid w:val="008757F1"/>
    <w:rsid w:val="00880CE2"/>
    <w:rsid w:val="00892C35"/>
    <w:rsid w:val="008B1DEF"/>
    <w:rsid w:val="008B3E1D"/>
    <w:rsid w:val="008C48E2"/>
    <w:rsid w:val="008E41F5"/>
    <w:rsid w:val="008E728E"/>
    <w:rsid w:val="00900A8E"/>
    <w:rsid w:val="00905D4A"/>
    <w:rsid w:val="00910FBC"/>
    <w:rsid w:val="00922C6C"/>
    <w:rsid w:val="00931F6E"/>
    <w:rsid w:val="009366E0"/>
    <w:rsid w:val="0095377A"/>
    <w:rsid w:val="00973FB5"/>
    <w:rsid w:val="00975979"/>
    <w:rsid w:val="00984BB9"/>
    <w:rsid w:val="009A3B9F"/>
    <w:rsid w:val="009C0D06"/>
    <w:rsid w:val="009D6AD7"/>
    <w:rsid w:val="00A02E09"/>
    <w:rsid w:val="00A141AC"/>
    <w:rsid w:val="00A2400F"/>
    <w:rsid w:val="00A2647F"/>
    <w:rsid w:val="00A26DDE"/>
    <w:rsid w:val="00A40622"/>
    <w:rsid w:val="00A41F60"/>
    <w:rsid w:val="00A52126"/>
    <w:rsid w:val="00A55040"/>
    <w:rsid w:val="00A648B8"/>
    <w:rsid w:val="00A67D83"/>
    <w:rsid w:val="00A758F8"/>
    <w:rsid w:val="00AC1595"/>
    <w:rsid w:val="00AC4E0B"/>
    <w:rsid w:val="00AC7399"/>
    <w:rsid w:val="00AD5917"/>
    <w:rsid w:val="00B041A8"/>
    <w:rsid w:val="00B065AE"/>
    <w:rsid w:val="00B2421D"/>
    <w:rsid w:val="00B41057"/>
    <w:rsid w:val="00B44657"/>
    <w:rsid w:val="00B62585"/>
    <w:rsid w:val="00B6366E"/>
    <w:rsid w:val="00B8637D"/>
    <w:rsid w:val="00B935A0"/>
    <w:rsid w:val="00B93CC8"/>
    <w:rsid w:val="00B95ACA"/>
    <w:rsid w:val="00B971E2"/>
    <w:rsid w:val="00BA608E"/>
    <w:rsid w:val="00BB465B"/>
    <w:rsid w:val="00BC2909"/>
    <w:rsid w:val="00BC51B9"/>
    <w:rsid w:val="00BC6AF1"/>
    <w:rsid w:val="00BD2E74"/>
    <w:rsid w:val="00BE0107"/>
    <w:rsid w:val="00BF040E"/>
    <w:rsid w:val="00BF79D7"/>
    <w:rsid w:val="00C026EA"/>
    <w:rsid w:val="00C10221"/>
    <w:rsid w:val="00C15FE4"/>
    <w:rsid w:val="00C163A9"/>
    <w:rsid w:val="00C20874"/>
    <w:rsid w:val="00C30F2D"/>
    <w:rsid w:val="00C347F2"/>
    <w:rsid w:val="00C41878"/>
    <w:rsid w:val="00C4457D"/>
    <w:rsid w:val="00C44982"/>
    <w:rsid w:val="00C51D5D"/>
    <w:rsid w:val="00C543D1"/>
    <w:rsid w:val="00C55ADB"/>
    <w:rsid w:val="00C65E7F"/>
    <w:rsid w:val="00C918D9"/>
    <w:rsid w:val="00C97540"/>
    <w:rsid w:val="00C976CD"/>
    <w:rsid w:val="00CA3225"/>
    <w:rsid w:val="00CB1864"/>
    <w:rsid w:val="00CB68BA"/>
    <w:rsid w:val="00CB70C2"/>
    <w:rsid w:val="00CB7F95"/>
    <w:rsid w:val="00CC36BA"/>
    <w:rsid w:val="00CC77E9"/>
    <w:rsid w:val="00CE4F00"/>
    <w:rsid w:val="00CF03E5"/>
    <w:rsid w:val="00D12BF1"/>
    <w:rsid w:val="00D159D0"/>
    <w:rsid w:val="00D32BC2"/>
    <w:rsid w:val="00D337C1"/>
    <w:rsid w:val="00D36111"/>
    <w:rsid w:val="00D46769"/>
    <w:rsid w:val="00D56AFE"/>
    <w:rsid w:val="00D614BD"/>
    <w:rsid w:val="00D64D10"/>
    <w:rsid w:val="00D707A4"/>
    <w:rsid w:val="00D7167C"/>
    <w:rsid w:val="00D71A57"/>
    <w:rsid w:val="00D976E3"/>
    <w:rsid w:val="00DA184F"/>
    <w:rsid w:val="00DB3F4B"/>
    <w:rsid w:val="00DB5FDF"/>
    <w:rsid w:val="00DD448B"/>
    <w:rsid w:val="00DD7393"/>
    <w:rsid w:val="00DE1A34"/>
    <w:rsid w:val="00DF696C"/>
    <w:rsid w:val="00E166E0"/>
    <w:rsid w:val="00E21147"/>
    <w:rsid w:val="00E216A1"/>
    <w:rsid w:val="00E3161A"/>
    <w:rsid w:val="00E32F59"/>
    <w:rsid w:val="00E4217D"/>
    <w:rsid w:val="00E4735F"/>
    <w:rsid w:val="00E539B3"/>
    <w:rsid w:val="00E555B1"/>
    <w:rsid w:val="00E60E0B"/>
    <w:rsid w:val="00E7090E"/>
    <w:rsid w:val="00E717D4"/>
    <w:rsid w:val="00E804D4"/>
    <w:rsid w:val="00E817B1"/>
    <w:rsid w:val="00E954C6"/>
    <w:rsid w:val="00ED3B9E"/>
    <w:rsid w:val="00EE2A34"/>
    <w:rsid w:val="00EE2B89"/>
    <w:rsid w:val="00EF2EA1"/>
    <w:rsid w:val="00EF5E8C"/>
    <w:rsid w:val="00F17A5B"/>
    <w:rsid w:val="00F44BB9"/>
    <w:rsid w:val="00F51011"/>
    <w:rsid w:val="00F51844"/>
    <w:rsid w:val="00F67AF0"/>
    <w:rsid w:val="00F73B24"/>
    <w:rsid w:val="00F831E9"/>
    <w:rsid w:val="00FB3987"/>
    <w:rsid w:val="00FB3B4B"/>
    <w:rsid w:val="00FD3813"/>
    <w:rsid w:val="00FD53EB"/>
    <w:rsid w:val="00FD6322"/>
    <w:rsid w:val="00FE1D46"/>
    <w:rsid w:val="00FE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A3697E"/>
  <w15:chartTrackingRefBased/>
  <w15:docId w15:val="{0E6545DC-3A56-4C32-A803-A17035A0C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716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next w:val="Normale"/>
    <w:link w:val="Titolo1Carattere"/>
    <w:uiPriority w:val="9"/>
    <w:qFormat/>
    <w:rsid w:val="00DB3F4B"/>
    <w:pPr>
      <w:keepNext/>
      <w:keepLines/>
      <w:spacing w:after="113" w:line="270" w:lineRule="auto"/>
      <w:ind w:left="10" w:right="59" w:hanging="10"/>
      <w:jc w:val="both"/>
      <w:outlineLvl w:val="0"/>
    </w:pPr>
    <w:rPr>
      <w:rFonts w:ascii="Times New Roman" w:eastAsia="Times New Roman" w:hAnsi="Times New Roman" w:cs="Times New Roman"/>
      <w:color w:val="000000"/>
      <w:sz w:val="18"/>
      <w:lang w:val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C0E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B3F4B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rsid w:val="009A3B9F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9A3B9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9A3B9F"/>
    <w:rPr>
      <w:rFonts w:cs="Times New Roman"/>
      <w:vertAlign w:val="superscript"/>
    </w:rPr>
  </w:style>
  <w:style w:type="paragraph" w:customStyle="1" w:styleId="Default">
    <w:name w:val="Default"/>
    <w:rsid w:val="009A3B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4187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187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418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187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aliases w:val="Elenco 1,Paragrafo elenco livello 1,Bullet edison,Paragrafo elenco 2,Bullet List,FooterText,numbered,Paragraphe de liste1,Bulletr List Paragraph,列出段落,列出段落1,List Paragraph21,Listeafsnit1,Parágrafo da Lista1,Párrafo de lista1"/>
    <w:basedOn w:val="Normale"/>
    <w:link w:val="ParagrafoelencoCarattere"/>
    <w:uiPriority w:val="34"/>
    <w:qFormat/>
    <w:rsid w:val="00E216A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635A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635A3"/>
    <w:rPr>
      <w:color w:val="605E5C"/>
      <w:shd w:val="clear" w:color="auto" w:fill="E1DFDD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0D5FC7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D5FC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0D5FC7"/>
    <w:rPr>
      <w:vertAlign w:val="superscript"/>
    </w:rPr>
  </w:style>
  <w:style w:type="character" w:styleId="Testosegnaposto">
    <w:name w:val="Placeholder Text"/>
    <w:basedOn w:val="Carpredefinitoparagrafo"/>
    <w:uiPriority w:val="99"/>
    <w:semiHidden/>
    <w:rsid w:val="005D1174"/>
    <w:rPr>
      <w:color w:val="808080"/>
    </w:rPr>
  </w:style>
  <w:style w:type="character" w:styleId="Enfasidelicata">
    <w:name w:val="Subtle Emphasis"/>
    <w:basedOn w:val="Carpredefinitoparagrafo"/>
    <w:uiPriority w:val="19"/>
    <w:qFormat/>
    <w:rsid w:val="00E954C6"/>
    <w:rPr>
      <w:i/>
      <w:iCs/>
      <w:color w:val="404040" w:themeColor="text1" w:themeTint="BF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B3F4B"/>
    <w:rPr>
      <w:rFonts w:ascii="Times New Roman" w:eastAsia="Times New Roman" w:hAnsi="Times New Roman" w:cs="Times New Roman"/>
      <w:color w:val="000000"/>
      <w:sz w:val="1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B3F4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DB3F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B3F4B"/>
    <w:pPr>
      <w:spacing w:after="16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B3F4B"/>
    <w:rPr>
      <w:sz w:val="20"/>
      <w:szCs w:val="2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B3F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B3F4B"/>
    <w:rPr>
      <w:b/>
      <w:bCs/>
      <w:sz w:val="20"/>
      <w:szCs w:val="20"/>
      <w:lang w:val="en-US"/>
    </w:rPr>
  </w:style>
  <w:style w:type="table" w:styleId="Grigliatabella">
    <w:name w:val="Table Grid"/>
    <w:basedOn w:val="Tabellanormale"/>
    <w:uiPriority w:val="39"/>
    <w:rsid w:val="00DB3F4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j-testo-evidenziato">
    <w:name w:val="dj-testo-evidenziato"/>
    <w:basedOn w:val="Carpredefinitoparagrafo"/>
    <w:rsid w:val="00DB3F4B"/>
  </w:style>
  <w:style w:type="paragraph" w:styleId="Revisione">
    <w:name w:val="Revision"/>
    <w:hidden/>
    <w:uiPriority w:val="99"/>
    <w:semiHidden/>
    <w:rsid w:val="00DB3F4B"/>
    <w:pPr>
      <w:spacing w:after="0" w:line="240" w:lineRule="auto"/>
    </w:pPr>
    <w:rPr>
      <w:lang w:val="en-US"/>
    </w:rPr>
  </w:style>
  <w:style w:type="character" w:customStyle="1" w:styleId="ParagrafoelencoCarattere">
    <w:name w:val="Paragrafo elenco Carattere"/>
    <w:aliases w:val="Elenco 1 Carattere,Paragrafo elenco livello 1 Carattere,Bullet edison Carattere,Paragrafo elenco 2 Carattere,Bullet List Carattere,FooterText Carattere,numbered Carattere,Paragraphe de liste1 Carattere,列出段落 Carattere"/>
    <w:link w:val="Paragrafoelenco"/>
    <w:uiPriority w:val="34"/>
    <w:locked/>
    <w:rsid w:val="00DB3F4B"/>
    <w:rPr>
      <w:rFonts w:ascii="Times New Roman" w:eastAsia="Times New Roman" w:hAnsi="Times New Roman" w:cs="Times New Roman"/>
      <w:sz w:val="20"/>
      <w:szCs w:val="20"/>
      <w:lang w:eastAsia="it-IT"/>
    </w:rPr>
  </w:style>
  <w:style w:type="table" w:customStyle="1" w:styleId="PlainTable11">
    <w:name w:val="Plain Table 11"/>
    <w:basedOn w:val="Tabellanormale"/>
    <w:next w:val="Tabellasemplice-1"/>
    <w:uiPriority w:val="41"/>
    <w:rsid w:val="00DB3F4B"/>
    <w:pPr>
      <w:spacing w:after="0" w:line="240" w:lineRule="auto"/>
    </w:pPr>
    <w:rPr>
      <w:sz w:val="24"/>
      <w:szCs w:val="24"/>
      <w:lang w:val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ellasemplice-1">
    <w:name w:val="Plain Table 1"/>
    <w:basedOn w:val="Tabellanormale"/>
    <w:uiPriority w:val="41"/>
    <w:rsid w:val="00DB3F4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itolosommario">
    <w:name w:val="TOC Heading"/>
    <w:basedOn w:val="Titolo1"/>
    <w:next w:val="Normale"/>
    <w:uiPriority w:val="39"/>
    <w:unhideWhenUsed/>
    <w:qFormat/>
    <w:rsid w:val="00DB3F4B"/>
    <w:pPr>
      <w:spacing w:before="240" w:after="0" w:line="259" w:lineRule="auto"/>
      <w:ind w:left="0" w:right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unhideWhenUsed/>
    <w:rsid w:val="00DB3F4B"/>
    <w:pPr>
      <w:tabs>
        <w:tab w:val="right" w:leader="dot" w:pos="9350"/>
      </w:tabs>
      <w:spacing w:after="100" w:line="259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Sommario3">
    <w:name w:val="toc 3"/>
    <w:basedOn w:val="Normale"/>
    <w:next w:val="Normale"/>
    <w:autoRedefine/>
    <w:uiPriority w:val="39"/>
    <w:unhideWhenUsed/>
    <w:rsid w:val="00DB3F4B"/>
    <w:pPr>
      <w:tabs>
        <w:tab w:val="left" w:pos="1100"/>
        <w:tab w:val="right" w:leader="dot" w:pos="9350"/>
      </w:tabs>
      <w:spacing w:after="100" w:line="259" w:lineRule="auto"/>
      <w:ind w:left="44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C0ED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C0EDC"/>
    <w:pPr>
      <w:numPr>
        <w:ilvl w:val="1"/>
      </w:numPr>
      <w:spacing w:after="160" w:line="276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C0EDC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0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5C673-215C-477C-81D8-FBF701B10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1282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GIANNINO</dc:creator>
  <cp:keywords/>
  <dc:description/>
  <cp:lastModifiedBy>GIOVANNI CASTALDO</cp:lastModifiedBy>
  <cp:revision>17</cp:revision>
  <cp:lastPrinted>2023-07-04T11:07:00Z</cp:lastPrinted>
  <dcterms:created xsi:type="dcterms:W3CDTF">2023-09-25T15:19:00Z</dcterms:created>
  <dcterms:modified xsi:type="dcterms:W3CDTF">2023-11-09T12:31:00Z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d0b24d-6422-44b0-b3de-abb3a9e8c81a_Enabled">
    <vt:lpwstr>true</vt:lpwstr>
  </property>
  <property fmtid="{D5CDD505-2E9C-101B-9397-08002B2CF9AE}" pid="3" name="MSIP_Label_2ad0b24d-6422-44b0-b3de-abb3a9e8c81a_SetDate">
    <vt:lpwstr>2023-05-04T08:59:03Z</vt:lpwstr>
  </property>
  <property fmtid="{D5CDD505-2E9C-101B-9397-08002B2CF9AE}" pid="4" name="MSIP_Label_2ad0b24d-6422-44b0-b3de-abb3a9e8c81a_Method">
    <vt:lpwstr>Standard</vt:lpwstr>
  </property>
  <property fmtid="{D5CDD505-2E9C-101B-9397-08002B2CF9AE}" pid="5" name="MSIP_Label_2ad0b24d-6422-44b0-b3de-abb3a9e8c81a_Name">
    <vt:lpwstr>defa4170-0d19-0005-0004-bc88714345d2</vt:lpwstr>
  </property>
  <property fmtid="{D5CDD505-2E9C-101B-9397-08002B2CF9AE}" pid="6" name="MSIP_Label_2ad0b24d-6422-44b0-b3de-abb3a9e8c81a_SiteId">
    <vt:lpwstr>2fcfe26a-bb62-46b0-b1e3-28f9da0c45fd</vt:lpwstr>
  </property>
  <property fmtid="{D5CDD505-2E9C-101B-9397-08002B2CF9AE}" pid="7" name="MSIP_Label_2ad0b24d-6422-44b0-b3de-abb3a9e8c81a_ActionId">
    <vt:lpwstr>35238068-8954-4fec-9509-9dc0dc732d34</vt:lpwstr>
  </property>
  <property fmtid="{D5CDD505-2E9C-101B-9397-08002B2CF9AE}" pid="8" name="MSIP_Label_2ad0b24d-6422-44b0-b3de-abb3a9e8c81a_ContentBits">
    <vt:lpwstr>0</vt:lpwstr>
  </property>
  <property fmtid="{D5CDD505-2E9C-101B-9397-08002B2CF9AE}" pid="9" name="MSIP_Label_ea60d57e-af5b-4752-ac57-3e4f28ca11dc_Enabled">
    <vt:lpwstr>true</vt:lpwstr>
  </property>
  <property fmtid="{D5CDD505-2E9C-101B-9397-08002B2CF9AE}" pid="10" name="MSIP_Label_ea60d57e-af5b-4752-ac57-3e4f28ca11dc_SetDate">
    <vt:lpwstr>2023-09-22T13:58:54Z</vt:lpwstr>
  </property>
  <property fmtid="{D5CDD505-2E9C-101B-9397-08002B2CF9AE}" pid="11" name="MSIP_Label_ea60d57e-af5b-4752-ac57-3e4f28ca11dc_Method">
    <vt:lpwstr>Standard</vt:lpwstr>
  </property>
  <property fmtid="{D5CDD505-2E9C-101B-9397-08002B2CF9AE}" pid="12" name="MSIP_Label_ea60d57e-af5b-4752-ac57-3e4f28ca11dc_Name">
    <vt:lpwstr>ea60d57e-af5b-4752-ac57-3e4f28ca11dc</vt:lpwstr>
  </property>
  <property fmtid="{D5CDD505-2E9C-101B-9397-08002B2CF9AE}" pid="13" name="MSIP_Label_ea60d57e-af5b-4752-ac57-3e4f28ca11dc_SiteId">
    <vt:lpwstr>36da45f1-dd2c-4d1f-af13-5abe46b99921</vt:lpwstr>
  </property>
  <property fmtid="{D5CDD505-2E9C-101B-9397-08002B2CF9AE}" pid="14" name="MSIP_Label_ea60d57e-af5b-4752-ac57-3e4f28ca11dc_ActionId">
    <vt:lpwstr>93341d7c-6692-4622-a541-f8d43602912d</vt:lpwstr>
  </property>
  <property fmtid="{D5CDD505-2E9C-101B-9397-08002B2CF9AE}" pid="15" name="MSIP_Label_ea60d57e-af5b-4752-ac57-3e4f28ca11dc_ContentBits">
    <vt:lpwstr>0</vt:lpwstr>
  </property>
</Properties>
</file>