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B9F" w:rsidRPr="003E6B9F" w:rsidRDefault="003E6B9F" w:rsidP="003E6B9F">
      <w:pPr>
        <w:pBdr>
          <w:bottom w:val="single" w:sz="6" w:space="1" w:color="auto"/>
        </w:pBdr>
        <w:spacing w:after="0" w:line="240" w:lineRule="auto"/>
        <w:jc w:val="center"/>
        <w:rPr>
          <w:rFonts w:ascii="Arial" w:eastAsia="Times New Roman" w:hAnsi="Arial" w:cs="Arial"/>
          <w:vanish/>
          <w:sz w:val="16"/>
          <w:szCs w:val="16"/>
          <w:lang w:eastAsia="it-IT"/>
        </w:rPr>
      </w:pPr>
      <w:r w:rsidRPr="003E6B9F">
        <w:rPr>
          <w:rFonts w:ascii="Arial" w:eastAsia="Times New Roman" w:hAnsi="Arial" w:cs="Arial"/>
          <w:vanish/>
          <w:sz w:val="16"/>
          <w:szCs w:val="16"/>
          <w:lang w:eastAsia="it-IT"/>
        </w:rPr>
        <w:t>Inizio modulo</w:t>
      </w:r>
    </w:p>
    <w:p w:rsidR="003E6B9F" w:rsidRPr="003E6B9F" w:rsidRDefault="003E6B9F" w:rsidP="003E6B9F">
      <w:pPr>
        <w:spacing w:after="0" w:line="240" w:lineRule="auto"/>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in;height:17.9pt" o:ole="">
            <v:imagedata r:id="rId4" o:title=""/>
          </v:shape>
          <w:control r:id="rId5" w:name="DefaultOcxName" w:shapeid="_x0000_i1032"/>
        </w:object>
      </w:r>
    </w:p>
    <w:p w:rsidR="003E6B9F" w:rsidRPr="003E6B9F" w:rsidRDefault="003E6B9F" w:rsidP="003E6B9F">
      <w:pPr>
        <w:spacing w:after="240" w:line="240" w:lineRule="auto"/>
        <w:ind w:left="567"/>
        <w:jc w:val="center"/>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SENTENZA DELLA CORTE (Grande Sezione)</w:t>
      </w:r>
    </w:p>
    <w:p w:rsidR="003E6B9F" w:rsidRPr="003E6B9F" w:rsidRDefault="003E6B9F" w:rsidP="003E6B9F">
      <w:pPr>
        <w:spacing w:after="240" w:line="240" w:lineRule="auto"/>
        <w:ind w:left="567"/>
        <w:jc w:val="center"/>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8 settembre 2015 (</w:t>
      </w:r>
      <w:bookmarkStart w:id="0" w:name="Footref*"/>
      <w:r w:rsidRPr="003E6B9F">
        <w:rPr>
          <w:rFonts w:ascii="Times New Roman" w:eastAsia="Times New Roman" w:hAnsi="Times New Roman" w:cs="Times New Roman"/>
          <w:sz w:val="24"/>
          <w:szCs w:val="24"/>
          <w:lang w:eastAsia="it-IT"/>
        </w:rPr>
        <w:fldChar w:fldCharType="begin"/>
      </w:r>
      <w:r w:rsidRPr="003E6B9F">
        <w:rPr>
          <w:rFonts w:ascii="Times New Roman" w:eastAsia="Times New Roman" w:hAnsi="Times New Roman" w:cs="Times New Roman"/>
          <w:sz w:val="24"/>
          <w:szCs w:val="24"/>
          <w:lang w:eastAsia="it-IT"/>
        </w:rPr>
        <w:instrText xml:space="preserve"> HYPERLINK "http://curia.europa.eu/juris/document/document_print.jsf;jsessionid=9ea7d0f130d600fcb6480c4c4c4ab23d8f653106c56d.e34KaxiLc3eQc40LaxqMbN4PahmLe0?doclang=IT&amp;text=&amp;pageIndex=0&amp;part=1&amp;mode=DOC&amp;docid=167061&amp;occ=first&amp;dir=&amp;cid=1021248" \l "Footnote*" </w:instrText>
      </w:r>
      <w:r w:rsidRPr="003E6B9F">
        <w:rPr>
          <w:rFonts w:ascii="Times New Roman" w:eastAsia="Times New Roman" w:hAnsi="Times New Roman" w:cs="Times New Roman"/>
          <w:sz w:val="24"/>
          <w:szCs w:val="24"/>
          <w:lang w:eastAsia="it-IT"/>
        </w:rPr>
        <w:fldChar w:fldCharType="separate"/>
      </w:r>
      <w:r w:rsidRPr="003E6B9F">
        <w:rPr>
          <w:rFonts w:ascii="Times New Roman" w:eastAsia="Times New Roman" w:hAnsi="Times New Roman" w:cs="Times New Roman"/>
          <w:color w:val="0000FF"/>
          <w:sz w:val="24"/>
          <w:szCs w:val="24"/>
          <w:u w:val="single"/>
          <w:lang w:eastAsia="it-IT"/>
        </w:rPr>
        <w:t>*</w:t>
      </w:r>
      <w:r w:rsidRPr="003E6B9F">
        <w:rPr>
          <w:rFonts w:ascii="Times New Roman" w:eastAsia="Times New Roman" w:hAnsi="Times New Roman" w:cs="Times New Roman"/>
          <w:sz w:val="24"/>
          <w:szCs w:val="24"/>
          <w:lang w:eastAsia="it-IT"/>
        </w:rPr>
        <w:fldChar w:fldCharType="end"/>
      </w:r>
      <w:bookmarkEnd w:id="0"/>
      <w:r w:rsidRPr="003E6B9F">
        <w:rPr>
          <w:rFonts w:ascii="Times New Roman" w:eastAsia="Times New Roman" w:hAnsi="Times New Roman" w:cs="Times New Roman"/>
          <w:sz w:val="24"/>
          <w:szCs w:val="24"/>
          <w:lang w:eastAsia="it-IT"/>
        </w:rPr>
        <w:t>)</w:t>
      </w:r>
    </w:p>
    <w:p w:rsidR="003E6B9F" w:rsidRPr="003E6B9F" w:rsidRDefault="003E6B9F" w:rsidP="003E6B9F">
      <w:pPr>
        <w:spacing w:before="600" w:after="560" w:line="240" w:lineRule="auto"/>
        <w:ind w:left="567"/>
        <w:jc w:val="center"/>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«Rinvio pregiudiziale – Procedimento penale riguardante reati in materia di imposta sul valore aggiunto (IVA) – Articolo 325 TFUE – Normativa nazionale che prevede termini assoluti di prescrizione che possono determinare l’impunità dei reati – Potenziale lesione degli interessi finanziari dell’Unione europea – Obbligo per il giudice nazionale di disapplicare qualsiasi disposizione di diritto interno che possa pregiudicare gli obblighi imposti agli Stati membri dal diritto dell’Unione»</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Nella causa C</w:t>
      </w:r>
      <w:r w:rsidRPr="003E6B9F">
        <w:rPr>
          <w:rFonts w:ascii="Times New Roman" w:eastAsia="Times New Roman" w:hAnsi="Times New Roman" w:cs="Times New Roman"/>
          <w:sz w:val="24"/>
          <w:szCs w:val="24"/>
          <w:lang w:eastAsia="it-IT"/>
        </w:rPr>
        <w:noBreakHyphen/>
        <w:t>105/14,</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avente ad oggetto la domanda di pronuncia pregiudiziale proposta alla Corte, ai sensi dell’articolo 267 TFUE, dal Tribunale di Cuneo (Italia), con ordinanza del 17 gennaio 2014, pervenuta in cancelleria il 5 marzo 2014, nel procedimento penale a carico di</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b/>
          <w:bCs/>
          <w:sz w:val="24"/>
          <w:szCs w:val="24"/>
          <w:lang w:eastAsia="it-IT"/>
        </w:rPr>
        <w:t xml:space="preserve">Ivo </w:t>
      </w:r>
      <w:proofErr w:type="spellStart"/>
      <w:r w:rsidRPr="003E6B9F">
        <w:rPr>
          <w:rFonts w:ascii="Times New Roman" w:eastAsia="Times New Roman" w:hAnsi="Times New Roman" w:cs="Times New Roman"/>
          <w:b/>
          <w:bCs/>
          <w:sz w:val="24"/>
          <w:szCs w:val="24"/>
          <w:lang w:eastAsia="it-IT"/>
        </w:rPr>
        <w:t>Taricco</w:t>
      </w:r>
      <w:proofErr w:type="spellEnd"/>
      <w:r w:rsidRPr="003E6B9F">
        <w:rPr>
          <w:rFonts w:ascii="Times New Roman" w:eastAsia="Times New Roman" w:hAnsi="Times New Roman" w:cs="Times New Roman"/>
          <w:b/>
          <w:bCs/>
          <w:sz w:val="24"/>
          <w:szCs w:val="24"/>
          <w:lang w:eastAsia="it-IT"/>
        </w:rPr>
        <w:t>,</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b/>
          <w:bCs/>
          <w:sz w:val="24"/>
          <w:szCs w:val="24"/>
          <w:lang w:eastAsia="it-IT"/>
        </w:rPr>
        <w:t>Ezio Filippi,</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b/>
          <w:bCs/>
          <w:sz w:val="24"/>
          <w:szCs w:val="24"/>
          <w:lang w:eastAsia="it-IT"/>
        </w:rPr>
        <w:t xml:space="preserve">Isabella </w:t>
      </w:r>
      <w:proofErr w:type="spellStart"/>
      <w:r w:rsidRPr="003E6B9F">
        <w:rPr>
          <w:rFonts w:ascii="Times New Roman" w:eastAsia="Times New Roman" w:hAnsi="Times New Roman" w:cs="Times New Roman"/>
          <w:b/>
          <w:bCs/>
          <w:sz w:val="24"/>
          <w:szCs w:val="24"/>
          <w:lang w:eastAsia="it-IT"/>
        </w:rPr>
        <w:t>Leonetti</w:t>
      </w:r>
      <w:proofErr w:type="spellEnd"/>
      <w:r w:rsidRPr="003E6B9F">
        <w:rPr>
          <w:rFonts w:ascii="Times New Roman" w:eastAsia="Times New Roman" w:hAnsi="Times New Roman" w:cs="Times New Roman"/>
          <w:b/>
          <w:bCs/>
          <w:sz w:val="24"/>
          <w:szCs w:val="24"/>
          <w:lang w:eastAsia="it-IT"/>
        </w:rPr>
        <w:t>,</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b/>
          <w:bCs/>
          <w:sz w:val="24"/>
          <w:szCs w:val="24"/>
          <w:lang w:eastAsia="it-IT"/>
        </w:rPr>
        <w:t>Nicola Spagnolo,</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b/>
          <w:bCs/>
          <w:sz w:val="24"/>
          <w:szCs w:val="24"/>
          <w:lang w:eastAsia="it-IT"/>
        </w:rPr>
        <w:t xml:space="preserve">Davide </w:t>
      </w:r>
      <w:proofErr w:type="spellStart"/>
      <w:r w:rsidRPr="003E6B9F">
        <w:rPr>
          <w:rFonts w:ascii="Times New Roman" w:eastAsia="Times New Roman" w:hAnsi="Times New Roman" w:cs="Times New Roman"/>
          <w:b/>
          <w:bCs/>
          <w:sz w:val="24"/>
          <w:szCs w:val="24"/>
          <w:lang w:eastAsia="it-IT"/>
        </w:rPr>
        <w:t>Salvoni</w:t>
      </w:r>
      <w:proofErr w:type="spellEnd"/>
      <w:r w:rsidRPr="003E6B9F">
        <w:rPr>
          <w:rFonts w:ascii="Times New Roman" w:eastAsia="Times New Roman" w:hAnsi="Times New Roman" w:cs="Times New Roman"/>
          <w:b/>
          <w:bCs/>
          <w:sz w:val="24"/>
          <w:szCs w:val="24"/>
          <w:lang w:eastAsia="it-IT"/>
        </w:rPr>
        <w:t>,</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b/>
          <w:bCs/>
          <w:sz w:val="24"/>
          <w:szCs w:val="24"/>
          <w:lang w:eastAsia="it-IT"/>
        </w:rPr>
        <w:t xml:space="preserve">Flavio </w:t>
      </w:r>
      <w:proofErr w:type="spellStart"/>
      <w:r w:rsidRPr="003E6B9F">
        <w:rPr>
          <w:rFonts w:ascii="Times New Roman" w:eastAsia="Times New Roman" w:hAnsi="Times New Roman" w:cs="Times New Roman"/>
          <w:b/>
          <w:bCs/>
          <w:sz w:val="24"/>
          <w:szCs w:val="24"/>
          <w:lang w:eastAsia="it-IT"/>
        </w:rPr>
        <w:t>Spaccavento</w:t>
      </w:r>
      <w:proofErr w:type="spellEnd"/>
      <w:r w:rsidRPr="003E6B9F">
        <w:rPr>
          <w:rFonts w:ascii="Times New Roman" w:eastAsia="Times New Roman" w:hAnsi="Times New Roman" w:cs="Times New Roman"/>
          <w:b/>
          <w:bCs/>
          <w:sz w:val="24"/>
          <w:szCs w:val="24"/>
          <w:lang w:eastAsia="it-IT"/>
        </w:rPr>
        <w:t>,</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proofErr w:type="spellStart"/>
      <w:r w:rsidRPr="003E6B9F">
        <w:rPr>
          <w:rFonts w:ascii="Times New Roman" w:eastAsia="Times New Roman" w:hAnsi="Times New Roman" w:cs="Times New Roman"/>
          <w:b/>
          <w:bCs/>
          <w:sz w:val="24"/>
          <w:szCs w:val="24"/>
          <w:lang w:eastAsia="it-IT"/>
        </w:rPr>
        <w:t>Goranco</w:t>
      </w:r>
      <w:proofErr w:type="spellEnd"/>
      <w:r w:rsidRPr="003E6B9F">
        <w:rPr>
          <w:rFonts w:ascii="Times New Roman" w:eastAsia="Times New Roman" w:hAnsi="Times New Roman" w:cs="Times New Roman"/>
          <w:b/>
          <w:bCs/>
          <w:sz w:val="24"/>
          <w:szCs w:val="24"/>
          <w:lang w:eastAsia="it-IT"/>
        </w:rPr>
        <w:t xml:space="preserve"> </w:t>
      </w:r>
      <w:proofErr w:type="spellStart"/>
      <w:r w:rsidRPr="003E6B9F">
        <w:rPr>
          <w:rFonts w:ascii="Times New Roman" w:eastAsia="Times New Roman" w:hAnsi="Times New Roman" w:cs="Times New Roman"/>
          <w:b/>
          <w:bCs/>
          <w:sz w:val="24"/>
          <w:szCs w:val="24"/>
          <w:lang w:eastAsia="it-IT"/>
        </w:rPr>
        <w:t>Anakiev</w:t>
      </w:r>
      <w:proofErr w:type="spellEnd"/>
      <w:r w:rsidRPr="003E6B9F">
        <w:rPr>
          <w:rFonts w:ascii="Times New Roman" w:eastAsia="Times New Roman" w:hAnsi="Times New Roman" w:cs="Times New Roman"/>
          <w:b/>
          <w:bCs/>
          <w:sz w:val="24"/>
          <w:szCs w:val="24"/>
          <w:lang w:eastAsia="it-IT"/>
        </w:rPr>
        <w:t>,</w:t>
      </w:r>
    </w:p>
    <w:p w:rsidR="003E6B9F" w:rsidRPr="003E6B9F" w:rsidRDefault="003E6B9F" w:rsidP="003E6B9F">
      <w:pPr>
        <w:spacing w:after="240" w:line="240" w:lineRule="auto"/>
        <w:ind w:left="567"/>
        <w:jc w:val="center"/>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LA CORTE (Grande Sezione),</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composta da V. </w:t>
      </w:r>
      <w:proofErr w:type="spellStart"/>
      <w:r w:rsidRPr="003E6B9F">
        <w:rPr>
          <w:rFonts w:ascii="Times New Roman" w:eastAsia="Times New Roman" w:hAnsi="Times New Roman" w:cs="Times New Roman"/>
          <w:sz w:val="24"/>
          <w:szCs w:val="24"/>
          <w:lang w:eastAsia="it-IT"/>
        </w:rPr>
        <w:t>Skouris</w:t>
      </w:r>
      <w:proofErr w:type="spellEnd"/>
      <w:r w:rsidRPr="003E6B9F">
        <w:rPr>
          <w:rFonts w:ascii="Times New Roman" w:eastAsia="Times New Roman" w:hAnsi="Times New Roman" w:cs="Times New Roman"/>
          <w:sz w:val="24"/>
          <w:szCs w:val="24"/>
          <w:lang w:eastAsia="it-IT"/>
        </w:rPr>
        <w:t>, presidente, K. </w:t>
      </w:r>
      <w:proofErr w:type="spellStart"/>
      <w:r w:rsidRPr="003E6B9F">
        <w:rPr>
          <w:rFonts w:ascii="Times New Roman" w:eastAsia="Times New Roman" w:hAnsi="Times New Roman" w:cs="Times New Roman"/>
          <w:sz w:val="24"/>
          <w:szCs w:val="24"/>
          <w:lang w:eastAsia="it-IT"/>
        </w:rPr>
        <w:t>Lenaerts</w:t>
      </w:r>
      <w:proofErr w:type="spellEnd"/>
      <w:r w:rsidRPr="003E6B9F">
        <w:rPr>
          <w:rFonts w:ascii="Times New Roman" w:eastAsia="Times New Roman" w:hAnsi="Times New Roman" w:cs="Times New Roman"/>
          <w:sz w:val="24"/>
          <w:szCs w:val="24"/>
          <w:lang w:eastAsia="it-IT"/>
        </w:rPr>
        <w:t xml:space="preserve">, vicepresidente, R. Silva de </w:t>
      </w:r>
      <w:proofErr w:type="spellStart"/>
      <w:r w:rsidRPr="003E6B9F">
        <w:rPr>
          <w:rFonts w:ascii="Times New Roman" w:eastAsia="Times New Roman" w:hAnsi="Times New Roman" w:cs="Times New Roman"/>
          <w:sz w:val="24"/>
          <w:szCs w:val="24"/>
          <w:lang w:eastAsia="it-IT"/>
        </w:rPr>
        <w:t>Lapuerta</w:t>
      </w:r>
      <w:proofErr w:type="spellEnd"/>
      <w:r w:rsidRPr="003E6B9F">
        <w:rPr>
          <w:rFonts w:ascii="Times New Roman" w:eastAsia="Times New Roman" w:hAnsi="Times New Roman" w:cs="Times New Roman"/>
          <w:sz w:val="24"/>
          <w:szCs w:val="24"/>
          <w:lang w:eastAsia="it-IT"/>
        </w:rPr>
        <w:t xml:space="preserve">, L. Bay </w:t>
      </w:r>
      <w:proofErr w:type="spellStart"/>
      <w:r w:rsidRPr="003E6B9F">
        <w:rPr>
          <w:rFonts w:ascii="Times New Roman" w:eastAsia="Times New Roman" w:hAnsi="Times New Roman" w:cs="Times New Roman"/>
          <w:sz w:val="24"/>
          <w:szCs w:val="24"/>
          <w:lang w:eastAsia="it-IT"/>
        </w:rPr>
        <w:t>Larsen</w:t>
      </w:r>
      <w:proofErr w:type="spellEnd"/>
      <w:r w:rsidRPr="003E6B9F">
        <w:rPr>
          <w:rFonts w:ascii="Times New Roman" w:eastAsia="Times New Roman" w:hAnsi="Times New Roman" w:cs="Times New Roman"/>
          <w:sz w:val="24"/>
          <w:szCs w:val="24"/>
          <w:lang w:eastAsia="it-IT"/>
        </w:rPr>
        <w:t xml:space="preserve">, T. von </w:t>
      </w:r>
      <w:proofErr w:type="spellStart"/>
      <w:r w:rsidRPr="003E6B9F">
        <w:rPr>
          <w:rFonts w:ascii="Times New Roman" w:eastAsia="Times New Roman" w:hAnsi="Times New Roman" w:cs="Times New Roman"/>
          <w:sz w:val="24"/>
          <w:szCs w:val="24"/>
          <w:lang w:eastAsia="it-IT"/>
        </w:rPr>
        <w:t>Danwitz</w:t>
      </w:r>
      <w:proofErr w:type="spellEnd"/>
      <w:r w:rsidRPr="003E6B9F">
        <w:rPr>
          <w:rFonts w:ascii="Times New Roman" w:eastAsia="Times New Roman" w:hAnsi="Times New Roman" w:cs="Times New Roman"/>
          <w:sz w:val="24"/>
          <w:szCs w:val="24"/>
          <w:lang w:eastAsia="it-IT"/>
        </w:rPr>
        <w:t xml:space="preserve"> e </w:t>
      </w:r>
      <w:proofErr w:type="spellStart"/>
      <w:r w:rsidRPr="003E6B9F">
        <w:rPr>
          <w:rFonts w:ascii="Times New Roman" w:eastAsia="Times New Roman" w:hAnsi="Times New Roman" w:cs="Times New Roman"/>
          <w:sz w:val="24"/>
          <w:szCs w:val="24"/>
          <w:lang w:eastAsia="it-IT"/>
        </w:rPr>
        <w:t>J.</w:t>
      </w:r>
      <w:r w:rsidRPr="003E6B9F">
        <w:rPr>
          <w:rFonts w:ascii="Times New Roman" w:eastAsia="Times New Roman" w:hAnsi="Times New Roman" w:cs="Times New Roman"/>
          <w:sz w:val="24"/>
          <w:szCs w:val="24"/>
          <w:lang w:eastAsia="it-IT"/>
        </w:rPr>
        <w:noBreakHyphen/>
        <w:t>C.</w:t>
      </w:r>
      <w:proofErr w:type="spellEnd"/>
      <w:r w:rsidRPr="003E6B9F">
        <w:rPr>
          <w:rFonts w:ascii="Times New Roman" w:eastAsia="Times New Roman" w:hAnsi="Times New Roman" w:cs="Times New Roman"/>
          <w:sz w:val="24"/>
          <w:szCs w:val="24"/>
          <w:lang w:eastAsia="it-IT"/>
        </w:rPr>
        <w:t> </w:t>
      </w:r>
      <w:proofErr w:type="spellStart"/>
      <w:r w:rsidRPr="003E6B9F">
        <w:rPr>
          <w:rFonts w:ascii="Times New Roman" w:eastAsia="Times New Roman" w:hAnsi="Times New Roman" w:cs="Times New Roman"/>
          <w:sz w:val="24"/>
          <w:szCs w:val="24"/>
          <w:lang w:eastAsia="it-IT"/>
        </w:rPr>
        <w:t>Bonichot</w:t>
      </w:r>
      <w:proofErr w:type="spellEnd"/>
      <w:r w:rsidRPr="003E6B9F">
        <w:rPr>
          <w:rFonts w:ascii="Times New Roman" w:eastAsia="Times New Roman" w:hAnsi="Times New Roman" w:cs="Times New Roman"/>
          <w:sz w:val="24"/>
          <w:szCs w:val="24"/>
          <w:lang w:eastAsia="it-IT"/>
        </w:rPr>
        <w:t>, presidenti di sezione, A. </w:t>
      </w:r>
      <w:proofErr w:type="spellStart"/>
      <w:r w:rsidRPr="003E6B9F">
        <w:rPr>
          <w:rFonts w:ascii="Times New Roman" w:eastAsia="Times New Roman" w:hAnsi="Times New Roman" w:cs="Times New Roman"/>
          <w:sz w:val="24"/>
          <w:szCs w:val="24"/>
          <w:lang w:eastAsia="it-IT"/>
        </w:rPr>
        <w:t>Arabadjiev</w:t>
      </w:r>
      <w:proofErr w:type="spellEnd"/>
      <w:r w:rsidRPr="003E6B9F">
        <w:rPr>
          <w:rFonts w:ascii="Times New Roman" w:eastAsia="Times New Roman" w:hAnsi="Times New Roman" w:cs="Times New Roman"/>
          <w:sz w:val="24"/>
          <w:szCs w:val="24"/>
          <w:lang w:eastAsia="it-IT"/>
        </w:rPr>
        <w:t>, M. </w:t>
      </w:r>
      <w:proofErr w:type="spellStart"/>
      <w:r w:rsidRPr="003E6B9F">
        <w:rPr>
          <w:rFonts w:ascii="Times New Roman" w:eastAsia="Times New Roman" w:hAnsi="Times New Roman" w:cs="Times New Roman"/>
          <w:sz w:val="24"/>
          <w:szCs w:val="24"/>
          <w:lang w:eastAsia="it-IT"/>
        </w:rPr>
        <w:t>Safjan</w:t>
      </w:r>
      <w:proofErr w:type="spellEnd"/>
      <w:r w:rsidRPr="003E6B9F">
        <w:rPr>
          <w:rFonts w:ascii="Times New Roman" w:eastAsia="Times New Roman" w:hAnsi="Times New Roman" w:cs="Times New Roman"/>
          <w:sz w:val="24"/>
          <w:szCs w:val="24"/>
          <w:lang w:eastAsia="it-IT"/>
        </w:rPr>
        <w:t>, D. </w:t>
      </w:r>
      <w:proofErr w:type="spellStart"/>
      <w:r w:rsidRPr="003E6B9F">
        <w:rPr>
          <w:rFonts w:ascii="Times New Roman" w:eastAsia="Times New Roman" w:hAnsi="Times New Roman" w:cs="Times New Roman"/>
          <w:sz w:val="24"/>
          <w:szCs w:val="24"/>
          <w:lang w:eastAsia="it-IT"/>
        </w:rPr>
        <w:t>Šváby</w:t>
      </w:r>
      <w:proofErr w:type="spellEnd"/>
      <w:r w:rsidRPr="003E6B9F">
        <w:rPr>
          <w:rFonts w:ascii="Times New Roman" w:eastAsia="Times New Roman" w:hAnsi="Times New Roman" w:cs="Times New Roman"/>
          <w:sz w:val="24"/>
          <w:szCs w:val="24"/>
          <w:lang w:eastAsia="it-IT"/>
        </w:rPr>
        <w:t>, M. Berger (relatore), A. </w:t>
      </w:r>
      <w:proofErr w:type="spellStart"/>
      <w:r w:rsidRPr="003E6B9F">
        <w:rPr>
          <w:rFonts w:ascii="Times New Roman" w:eastAsia="Times New Roman" w:hAnsi="Times New Roman" w:cs="Times New Roman"/>
          <w:sz w:val="24"/>
          <w:szCs w:val="24"/>
          <w:lang w:eastAsia="it-IT"/>
        </w:rPr>
        <w:t>Prechal</w:t>
      </w:r>
      <w:proofErr w:type="spellEnd"/>
      <w:r w:rsidRPr="003E6B9F">
        <w:rPr>
          <w:rFonts w:ascii="Times New Roman" w:eastAsia="Times New Roman" w:hAnsi="Times New Roman" w:cs="Times New Roman"/>
          <w:sz w:val="24"/>
          <w:szCs w:val="24"/>
          <w:lang w:eastAsia="it-IT"/>
        </w:rPr>
        <w:t>, E. </w:t>
      </w:r>
      <w:proofErr w:type="spellStart"/>
      <w:r w:rsidRPr="003E6B9F">
        <w:rPr>
          <w:rFonts w:ascii="Times New Roman" w:eastAsia="Times New Roman" w:hAnsi="Times New Roman" w:cs="Times New Roman"/>
          <w:sz w:val="24"/>
          <w:szCs w:val="24"/>
          <w:lang w:eastAsia="it-IT"/>
        </w:rPr>
        <w:t>Jarašiūnas</w:t>
      </w:r>
      <w:proofErr w:type="spellEnd"/>
      <w:r w:rsidRPr="003E6B9F">
        <w:rPr>
          <w:rFonts w:ascii="Times New Roman" w:eastAsia="Times New Roman" w:hAnsi="Times New Roman" w:cs="Times New Roman"/>
          <w:sz w:val="24"/>
          <w:szCs w:val="24"/>
          <w:lang w:eastAsia="it-IT"/>
        </w:rPr>
        <w:t xml:space="preserve"> e C.G. </w:t>
      </w:r>
      <w:proofErr w:type="spellStart"/>
      <w:r w:rsidRPr="003E6B9F">
        <w:rPr>
          <w:rFonts w:ascii="Times New Roman" w:eastAsia="Times New Roman" w:hAnsi="Times New Roman" w:cs="Times New Roman"/>
          <w:sz w:val="24"/>
          <w:szCs w:val="24"/>
          <w:lang w:eastAsia="it-IT"/>
        </w:rPr>
        <w:t>Fernlund</w:t>
      </w:r>
      <w:proofErr w:type="spellEnd"/>
      <w:r w:rsidRPr="003E6B9F">
        <w:rPr>
          <w:rFonts w:ascii="Times New Roman" w:eastAsia="Times New Roman" w:hAnsi="Times New Roman" w:cs="Times New Roman"/>
          <w:sz w:val="24"/>
          <w:szCs w:val="24"/>
          <w:lang w:eastAsia="it-IT"/>
        </w:rPr>
        <w:t>, giudici,</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avvocato generale: J. </w:t>
      </w:r>
      <w:proofErr w:type="spellStart"/>
      <w:r w:rsidRPr="003E6B9F">
        <w:rPr>
          <w:rFonts w:ascii="Times New Roman" w:eastAsia="Times New Roman" w:hAnsi="Times New Roman" w:cs="Times New Roman"/>
          <w:sz w:val="24"/>
          <w:szCs w:val="24"/>
          <w:lang w:eastAsia="it-IT"/>
        </w:rPr>
        <w:t>Kokott</w:t>
      </w:r>
      <w:proofErr w:type="spellEnd"/>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cancelliere: L. </w:t>
      </w:r>
      <w:proofErr w:type="spellStart"/>
      <w:r w:rsidRPr="003E6B9F">
        <w:rPr>
          <w:rFonts w:ascii="Times New Roman" w:eastAsia="Times New Roman" w:hAnsi="Times New Roman" w:cs="Times New Roman"/>
          <w:sz w:val="24"/>
          <w:szCs w:val="24"/>
          <w:lang w:eastAsia="it-IT"/>
        </w:rPr>
        <w:t>Carrasco</w:t>
      </w:r>
      <w:proofErr w:type="spellEnd"/>
      <w:r w:rsidRPr="003E6B9F">
        <w:rPr>
          <w:rFonts w:ascii="Times New Roman" w:eastAsia="Times New Roman" w:hAnsi="Times New Roman" w:cs="Times New Roman"/>
          <w:sz w:val="24"/>
          <w:szCs w:val="24"/>
          <w:lang w:eastAsia="it-IT"/>
        </w:rPr>
        <w:t xml:space="preserve"> Marco, amministratore</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vista la fase scritta del procedimento e in seguito all’udienza del 3 marzo 2015,</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considerate le osservazioni presentate:</w:t>
      </w:r>
    </w:p>
    <w:p w:rsidR="003E6B9F" w:rsidRPr="003E6B9F" w:rsidRDefault="003E6B9F" w:rsidP="003E6B9F">
      <w:pPr>
        <w:spacing w:before="100" w:beforeAutospacing="1" w:after="240" w:line="240" w:lineRule="auto"/>
        <w:ind w:left="1134" w:hanging="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        per G. </w:t>
      </w:r>
      <w:proofErr w:type="spellStart"/>
      <w:r w:rsidRPr="003E6B9F">
        <w:rPr>
          <w:rFonts w:ascii="Times New Roman" w:eastAsia="Times New Roman" w:hAnsi="Times New Roman" w:cs="Times New Roman"/>
          <w:sz w:val="24"/>
          <w:szCs w:val="24"/>
          <w:lang w:eastAsia="it-IT"/>
        </w:rPr>
        <w:t>Anakiev</w:t>
      </w:r>
      <w:proofErr w:type="spellEnd"/>
      <w:r w:rsidRPr="003E6B9F">
        <w:rPr>
          <w:rFonts w:ascii="Times New Roman" w:eastAsia="Times New Roman" w:hAnsi="Times New Roman" w:cs="Times New Roman"/>
          <w:sz w:val="24"/>
          <w:szCs w:val="24"/>
          <w:lang w:eastAsia="it-IT"/>
        </w:rPr>
        <w:t>, da L. Sani, avvocato;</w:t>
      </w:r>
    </w:p>
    <w:p w:rsidR="003E6B9F" w:rsidRPr="003E6B9F" w:rsidRDefault="003E6B9F" w:rsidP="003E6B9F">
      <w:pPr>
        <w:spacing w:before="100" w:beforeAutospacing="1" w:after="240" w:line="240" w:lineRule="auto"/>
        <w:ind w:left="1134" w:hanging="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        per il governo italiano, da G. Palmieri, in qualità di agente, assistita da M. </w:t>
      </w:r>
      <w:proofErr w:type="spellStart"/>
      <w:r w:rsidRPr="003E6B9F">
        <w:rPr>
          <w:rFonts w:ascii="Times New Roman" w:eastAsia="Times New Roman" w:hAnsi="Times New Roman" w:cs="Times New Roman"/>
          <w:sz w:val="24"/>
          <w:szCs w:val="24"/>
          <w:lang w:eastAsia="it-IT"/>
        </w:rPr>
        <w:t>Salvatorelli</w:t>
      </w:r>
      <w:proofErr w:type="spellEnd"/>
      <w:r w:rsidRPr="003E6B9F">
        <w:rPr>
          <w:rFonts w:ascii="Times New Roman" w:eastAsia="Times New Roman" w:hAnsi="Times New Roman" w:cs="Times New Roman"/>
          <w:sz w:val="24"/>
          <w:szCs w:val="24"/>
          <w:lang w:eastAsia="it-IT"/>
        </w:rPr>
        <w:t xml:space="preserve"> e L. </w:t>
      </w:r>
      <w:proofErr w:type="spellStart"/>
      <w:r w:rsidRPr="003E6B9F">
        <w:rPr>
          <w:rFonts w:ascii="Times New Roman" w:eastAsia="Times New Roman" w:hAnsi="Times New Roman" w:cs="Times New Roman"/>
          <w:sz w:val="24"/>
          <w:szCs w:val="24"/>
          <w:lang w:eastAsia="it-IT"/>
        </w:rPr>
        <w:t>Ventrella</w:t>
      </w:r>
      <w:proofErr w:type="spellEnd"/>
      <w:r w:rsidRPr="003E6B9F">
        <w:rPr>
          <w:rFonts w:ascii="Times New Roman" w:eastAsia="Times New Roman" w:hAnsi="Times New Roman" w:cs="Times New Roman"/>
          <w:sz w:val="24"/>
          <w:szCs w:val="24"/>
          <w:lang w:eastAsia="it-IT"/>
        </w:rPr>
        <w:t>, avvocati dello Stato;</w:t>
      </w:r>
    </w:p>
    <w:p w:rsidR="003E6B9F" w:rsidRPr="003E6B9F" w:rsidRDefault="003E6B9F" w:rsidP="003E6B9F">
      <w:pPr>
        <w:spacing w:before="100" w:beforeAutospacing="1" w:after="240" w:line="240" w:lineRule="auto"/>
        <w:ind w:left="1134" w:hanging="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lastRenderedPageBreak/>
        <w:t>–        per il governo tedesco, da T. </w:t>
      </w:r>
      <w:proofErr w:type="spellStart"/>
      <w:r w:rsidRPr="003E6B9F">
        <w:rPr>
          <w:rFonts w:ascii="Times New Roman" w:eastAsia="Times New Roman" w:hAnsi="Times New Roman" w:cs="Times New Roman"/>
          <w:sz w:val="24"/>
          <w:szCs w:val="24"/>
          <w:lang w:eastAsia="it-IT"/>
        </w:rPr>
        <w:t>Henze</w:t>
      </w:r>
      <w:proofErr w:type="spellEnd"/>
      <w:r w:rsidRPr="003E6B9F">
        <w:rPr>
          <w:rFonts w:ascii="Times New Roman" w:eastAsia="Times New Roman" w:hAnsi="Times New Roman" w:cs="Times New Roman"/>
          <w:sz w:val="24"/>
          <w:szCs w:val="24"/>
          <w:lang w:eastAsia="it-IT"/>
        </w:rPr>
        <w:t xml:space="preserve"> e J. </w:t>
      </w:r>
      <w:proofErr w:type="spellStart"/>
      <w:r w:rsidRPr="003E6B9F">
        <w:rPr>
          <w:rFonts w:ascii="Times New Roman" w:eastAsia="Times New Roman" w:hAnsi="Times New Roman" w:cs="Times New Roman"/>
          <w:sz w:val="24"/>
          <w:szCs w:val="24"/>
          <w:lang w:eastAsia="it-IT"/>
        </w:rPr>
        <w:t>Kemper</w:t>
      </w:r>
      <w:proofErr w:type="spellEnd"/>
      <w:r w:rsidRPr="003E6B9F">
        <w:rPr>
          <w:rFonts w:ascii="Times New Roman" w:eastAsia="Times New Roman" w:hAnsi="Times New Roman" w:cs="Times New Roman"/>
          <w:sz w:val="24"/>
          <w:szCs w:val="24"/>
          <w:lang w:eastAsia="it-IT"/>
        </w:rPr>
        <w:t>, in qualità di agenti;</w:t>
      </w:r>
    </w:p>
    <w:p w:rsidR="003E6B9F" w:rsidRPr="003E6B9F" w:rsidRDefault="003E6B9F" w:rsidP="003E6B9F">
      <w:pPr>
        <w:spacing w:before="100" w:beforeAutospacing="1" w:after="240" w:line="240" w:lineRule="auto"/>
        <w:ind w:left="1134" w:hanging="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        per il governo polacco, da B. </w:t>
      </w:r>
      <w:proofErr w:type="spellStart"/>
      <w:r w:rsidRPr="003E6B9F">
        <w:rPr>
          <w:rFonts w:ascii="Times New Roman" w:eastAsia="Times New Roman" w:hAnsi="Times New Roman" w:cs="Times New Roman"/>
          <w:sz w:val="24"/>
          <w:szCs w:val="24"/>
          <w:lang w:eastAsia="it-IT"/>
        </w:rPr>
        <w:t>Majczyna</w:t>
      </w:r>
      <w:proofErr w:type="spellEnd"/>
      <w:r w:rsidRPr="003E6B9F">
        <w:rPr>
          <w:rFonts w:ascii="Times New Roman" w:eastAsia="Times New Roman" w:hAnsi="Times New Roman" w:cs="Times New Roman"/>
          <w:sz w:val="24"/>
          <w:szCs w:val="24"/>
          <w:lang w:eastAsia="it-IT"/>
        </w:rPr>
        <w:t>, in qualità di agente;</w:t>
      </w:r>
    </w:p>
    <w:p w:rsidR="003E6B9F" w:rsidRPr="003E6B9F" w:rsidRDefault="003E6B9F" w:rsidP="003E6B9F">
      <w:pPr>
        <w:spacing w:before="100" w:beforeAutospacing="1" w:after="240" w:line="240" w:lineRule="auto"/>
        <w:ind w:left="1134" w:hanging="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        per la Commissione europea, da P. Rossi e R. </w:t>
      </w:r>
      <w:proofErr w:type="spellStart"/>
      <w:r w:rsidRPr="003E6B9F">
        <w:rPr>
          <w:rFonts w:ascii="Times New Roman" w:eastAsia="Times New Roman" w:hAnsi="Times New Roman" w:cs="Times New Roman"/>
          <w:sz w:val="24"/>
          <w:szCs w:val="24"/>
          <w:lang w:eastAsia="it-IT"/>
        </w:rPr>
        <w:t>Lyal</w:t>
      </w:r>
      <w:proofErr w:type="spellEnd"/>
      <w:r w:rsidRPr="003E6B9F">
        <w:rPr>
          <w:rFonts w:ascii="Times New Roman" w:eastAsia="Times New Roman" w:hAnsi="Times New Roman" w:cs="Times New Roman"/>
          <w:sz w:val="24"/>
          <w:szCs w:val="24"/>
          <w:lang w:eastAsia="it-IT"/>
        </w:rPr>
        <w:t>, in qualità di agenti,</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sentite le conclusioni dell’avvocato generale, presentate all’udienza del 30 aprile 2015,</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ha pronunciato la seguente</w:t>
      </w:r>
    </w:p>
    <w:p w:rsidR="003E6B9F" w:rsidRPr="003E6B9F" w:rsidRDefault="003E6B9F" w:rsidP="003E6B9F">
      <w:pPr>
        <w:spacing w:before="480" w:after="480" w:line="240" w:lineRule="auto"/>
        <w:ind w:left="567"/>
        <w:jc w:val="center"/>
        <w:rPr>
          <w:rFonts w:ascii="Times New Roman" w:eastAsia="Times New Roman" w:hAnsi="Times New Roman" w:cs="Times New Roman"/>
          <w:b/>
          <w:bCs/>
          <w:sz w:val="24"/>
          <w:szCs w:val="24"/>
          <w:lang w:eastAsia="it-IT"/>
        </w:rPr>
      </w:pPr>
      <w:r w:rsidRPr="003E6B9F">
        <w:rPr>
          <w:rFonts w:ascii="Times New Roman" w:eastAsia="Times New Roman" w:hAnsi="Times New Roman" w:cs="Times New Roman"/>
          <w:b/>
          <w:bCs/>
          <w:sz w:val="24"/>
          <w:szCs w:val="24"/>
          <w:lang w:eastAsia="it-IT"/>
        </w:rPr>
        <w:t>Sentenza</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1" w:name="point1"/>
      <w:r w:rsidRPr="003E6B9F">
        <w:rPr>
          <w:rFonts w:ascii="Times New Roman" w:eastAsia="Times New Roman" w:hAnsi="Times New Roman" w:cs="Times New Roman"/>
          <w:sz w:val="24"/>
          <w:szCs w:val="24"/>
          <w:lang w:eastAsia="it-IT"/>
        </w:rPr>
        <w:t>1</w:t>
      </w:r>
      <w:bookmarkEnd w:id="1"/>
      <w:r w:rsidRPr="003E6B9F">
        <w:rPr>
          <w:rFonts w:ascii="Times New Roman" w:eastAsia="Times New Roman" w:hAnsi="Times New Roman" w:cs="Times New Roman"/>
          <w:sz w:val="24"/>
          <w:szCs w:val="24"/>
          <w:lang w:eastAsia="it-IT"/>
        </w:rPr>
        <w:t>        La domanda di pronuncia pregiudiziale verte sull’interpretazione degli articoli 101 TFUE, 107 TFUE e 119 TFUE nonché dell’articolo 158 della direttiva 2006/112/CE del Consiglio, del 28 novembre 2006, relativa al sistema comune d’imposta sul valore aggiunto (GU L 347, pag. 1).</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2" w:name="point2"/>
      <w:r w:rsidRPr="003E6B9F">
        <w:rPr>
          <w:rFonts w:ascii="Times New Roman" w:eastAsia="Times New Roman" w:hAnsi="Times New Roman" w:cs="Times New Roman"/>
          <w:sz w:val="24"/>
          <w:szCs w:val="24"/>
          <w:lang w:eastAsia="it-IT"/>
        </w:rPr>
        <w:t>2</w:t>
      </w:r>
      <w:bookmarkEnd w:id="2"/>
      <w:r w:rsidRPr="003E6B9F">
        <w:rPr>
          <w:rFonts w:ascii="Times New Roman" w:eastAsia="Times New Roman" w:hAnsi="Times New Roman" w:cs="Times New Roman"/>
          <w:sz w:val="24"/>
          <w:szCs w:val="24"/>
          <w:lang w:eastAsia="it-IT"/>
        </w:rPr>
        <w:t>        Tale domanda è stata presentata nell’ambito di un procedimento penale a carico dei sigg. </w:t>
      </w:r>
      <w:proofErr w:type="spellStart"/>
      <w:r w:rsidRPr="003E6B9F">
        <w:rPr>
          <w:rFonts w:ascii="Times New Roman" w:eastAsia="Times New Roman" w:hAnsi="Times New Roman" w:cs="Times New Roman"/>
          <w:sz w:val="24"/>
          <w:szCs w:val="24"/>
          <w:lang w:eastAsia="it-IT"/>
        </w:rPr>
        <w:t>Taricco</w:t>
      </w:r>
      <w:proofErr w:type="spellEnd"/>
      <w:r w:rsidRPr="003E6B9F">
        <w:rPr>
          <w:rFonts w:ascii="Times New Roman" w:eastAsia="Times New Roman" w:hAnsi="Times New Roman" w:cs="Times New Roman"/>
          <w:sz w:val="24"/>
          <w:szCs w:val="24"/>
          <w:lang w:eastAsia="it-IT"/>
        </w:rPr>
        <w:t xml:space="preserve"> e Filippi, della sig.ra </w:t>
      </w:r>
      <w:proofErr w:type="spellStart"/>
      <w:r w:rsidRPr="003E6B9F">
        <w:rPr>
          <w:rFonts w:ascii="Times New Roman" w:eastAsia="Times New Roman" w:hAnsi="Times New Roman" w:cs="Times New Roman"/>
          <w:sz w:val="24"/>
          <w:szCs w:val="24"/>
          <w:lang w:eastAsia="it-IT"/>
        </w:rPr>
        <w:t>Leonetti</w:t>
      </w:r>
      <w:proofErr w:type="spellEnd"/>
      <w:r w:rsidRPr="003E6B9F">
        <w:rPr>
          <w:rFonts w:ascii="Times New Roman" w:eastAsia="Times New Roman" w:hAnsi="Times New Roman" w:cs="Times New Roman"/>
          <w:sz w:val="24"/>
          <w:szCs w:val="24"/>
          <w:lang w:eastAsia="it-IT"/>
        </w:rPr>
        <w:t xml:space="preserve"> e dei sigg. Spagnolo, </w:t>
      </w:r>
      <w:proofErr w:type="spellStart"/>
      <w:r w:rsidRPr="003E6B9F">
        <w:rPr>
          <w:rFonts w:ascii="Times New Roman" w:eastAsia="Times New Roman" w:hAnsi="Times New Roman" w:cs="Times New Roman"/>
          <w:sz w:val="24"/>
          <w:szCs w:val="24"/>
          <w:lang w:eastAsia="it-IT"/>
        </w:rPr>
        <w:t>Salvoni</w:t>
      </w:r>
      <w:proofErr w:type="spellEnd"/>
      <w:r w:rsidRPr="003E6B9F">
        <w:rPr>
          <w:rFonts w:ascii="Times New Roman" w:eastAsia="Times New Roman" w:hAnsi="Times New Roman" w:cs="Times New Roman"/>
          <w:sz w:val="24"/>
          <w:szCs w:val="24"/>
          <w:lang w:eastAsia="it-IT"/>
        </w:rPr>
        <w:t xml:space="preserve">, </w:t>
      </w:r>
      <w:proofErr w:type="spellStart"/>
      <w:r w:rsidRPr="003E6B9F">
        <w:rPr>
          <w:rFonts w:ascii="Times New Roman" w:eastAsia="Times New Roman" w:hAnsi="Times New Roman" w:cs="Times New Roman"/>
          <w:sz w:val="24"/>
          <w:szCs w:val="24"/>
          <w:lang w:eastAsia="it-IT"/>
        </w:rPr>
        <w:t>Spaccavento</w:t>
      </w:r>
      <w:proofErr w:type="spellEnd"/>
      <w:r w:rsidRPr="003E6B9F">
        <w:rPr>
          <w:rFonts w:ascii="Times New Roman" w:eastAsia="Times New Roman" w:hAnsi="Times New Roman" w:cs="Times New Roman"/>
          <w:sz w:val="24"/>
          <w:szCs w:val="24"/>
          <w:lang w:eastAsia="it-IT"/>
        </w:rPr>
        <w:t xml:space="preserve"> e </w:t>
      </w:r>
      <w:proofErr w:type="spellStart"/>
      <w:r w:rsidRPr="003E6B9F">
        <w:rPr>
          <w:rFonts w:ascii="Times New Roman" w:eastAsia="Times New Roman" w:hAnsi="Times New Roman" w:cs="Times New Roman"/>
          <w:sz w:val="24"/>
          <w:szCs w:val="24"/>
          <w:lang w:eastAsia="it-IT"/>
        </w:rPr>
        <w:t>Anakiev</w:t>
      </w:r>
      <w:proofErr w:type="spellEnd"/>
      <w:r w:rsidRPr="003E6B9F">
        <w:rPr>
          <w:rFonts w:ascii="Times New Roman" w:eastAsia="Times New Roman" w:hAnsi="Times New Roman" w:cs="Times New Roman"/>
          <w:sz w:val="24"/>
          <w:szCs w:val="24"/>
          <w:lang w:eastAsia="it-IT"/>
        </w:rPr>
        <w:t xml:space="preserve"> (in prosieguo, congiuntamente: gli «imputati»), ai quali viene imputata la costituzione e l’organizzazione di un’associazione allo scopo di commettere più delitti in materia di imposta sul valore aggiunto (IVA).</w:t>
      </w:r>
    </w:p>
    <w:p w:rsidR="003E6B9F" w:rsidRPr="003E6B9F" w:rsidRDefault="003E6B9F" w:rsidP="003E6B9F">
      <w:pPr>
        <w:spacing w:before="480" w:after="240" w:line="240" w:lineRule="auto"/>
        <w:ind w:left="567"/>
        <w:jc w:val="both"/>
        <w:rPr>
          <w:rFonts w:ascii="Times New Roman" w:eastAsia="Times New Roman" w:hAnsi="Times New Roman" w:cs="Times New Roman"/>
          <w:b/>
          <w:bCs/>
          <w:sz w:val="24"/>
          <w:szCs w:val="24"/>
          <w:lang w:eastAsia="it-IT"/>
        </w:rPr>
      </w:pPr>
      <w:r w:rsidRPr="003E6B9F">
        <w:rPr>
          <w:rFonts w:ascii="Times New Roman" w:eastAsia="Times New Roman" w:hAnsi="Times New Roman" w:cs="Times New Roman"/>
          <w:b/>
          <w:bCs/>
          <w:sz w:val="24"/>
          <w:szCs w:val="24"/>
          <w:lang w:eastAsia="it-IT"/>
        </w:rPr>
        <w:t> Contesto normativo</w:t>
      </w:r>
    </w:p>
    <w:p w:rsidR="003E6B9F" w:rsidRPr="003E6B9F" w:rsidRDefault="003E6B9F" w:rsidP="003E6B9F">
      <w:pPr>
        <w:spacing w:after="240" w:line="240" w:lineRule="auto"/>
        <w:ind w:left="567"/>
        <w:jc w:val="both"/>
        <w:rPr>
          <w:rFonts w:ascii="Times New Roman" w:eastAsia="Times New Roman" w:hAnsi="Times New Roman" w:cs="Times New Roman"/>
          <w:i/>
          <w:iCs/>
          <w:sz w:val="24"/>
          <w:szCs w:val="24"/>
          <w:lang w:eastAsia="it-IT"/>
        </w:rPr>
      </w:pPr>
      <w:r w:rsidRPr="003E6B9F">
        <w:rPr>
          <w:rFonts w:ascii="Times New Roman" w:eastAsia="Times New Roman" w:hAnsi="Times New Roman" w:cs="Times New Roman"/>
          <w:i/>
          <w:iCs/>
          <w:sz w:val="24"/>
          <w:szCs w:val="24"/>
          <w:lang w:eastAsia="it-IT"/>
        </w:rPr>
        <w:t> Il diritto dell’Unione</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3" w:name="point3"/>
      <w:r w:rsidRPr="003E6B9F">
        <w:rPr>
          <w:rFonts w:ascii="Times New Roman" w:eastAsia="Times New Roman" w:hAnsi="Times New Roman" w:cs="Times New Roman"/>
          <w:sz w:val="24"/>
          <w:szCs w:val="24"/>
          <w:lang w:eastAsia="it-IT"/>
        </w:rPr>
        <w:t>3</w:t>
      </w:r>
      <w:bookmarkEnd w:id="3"/>
      <w:r w:rsidRPr="003E6B9F">
        <w:rPr>
          <w:rFonts w:ascii="Times New Roman" w:eastAsia="Times New Roman" w:hAnsi="Times New Roman" w:cs="Times New Roman"/>
          <w:sz w:val="24"/>
          <w:szCs w:val="24"/>
          <w:lang w:eastAsia="it-IT"/>
        </w:rPr>
        <w:t>        L’articolo 325 TFUE prevede quanto segue:</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«1.      L’Unione e gli Stati membri combattono contro la frode e le altre attività illegali che ledono gli interessi finanziari dell’Unione stessa mediante misure adottate a norma del presente articolo, che siano dissuasive e tali da permettere una protezione efficace negli Stati membri e nelle istituzioni, organi e organismi dell’Unione.</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2.      Gli Stati membri adottano, per combattere contro la frode che lede gli interessi finanziari dell’Unione, le stesse misure che adottano per combattere contro la frode che lede i loro interessi finanziari.</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 La Convenzione relativa alla tutela degli interessi finanziari delle Comunità europee</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4" w:name="point4"/>
      <w:r w:rsidRPr="003E6B9F">
        <w:rPr>
          <w:rFonts w:ascii="Times New Roman" w:eastAsia="Times New Roman" w:hAnsi="Times New Roman" w:cs="Times New Roman"/>
          <w:sz w:val="24"/>
          <w:szCs w:val="24"/>
          <w:lang w:eastAsia="it-IT"/>
        </w:rPr>
        <w:t>4</w:t>
      </w:r>
      <w:bookmarkEnd w:id="4"/>
      <w:r w:rsidRPr="003E6B9F">
        <w:rPr>
          <w:rFonts w:ascii="Times New Roman" w:eastAsia="Times New Roman" w:hAnsi="Times New Roman" w:cs="Times New Roman"/>
          <w:sz w:val="24"/>
          <w:szCs w:val="24"/>
          <w:lang w:eastAsia="it-IT"/>
        </w:rPr>
        <w:t xml:space="preserve">        A termini del preambolo della Convenzione elaborata in base all’articolo K.3 del Trattato sull’Unione europea relativa alla tutela degli interessi finanziari delle Comunità europee, firmata a Lussemburgo il 26 luglio 1995 (GU C 316, pag. 48; in prosieguo: la «Convenzione PIF»), le parti contraenti di tale Convenzione, Stati membri dell’Unione europea, sono convinti «che la tutela degli interessi finanziari delle Comunità europee esige che ogni condotta fraudolenta che leda tali interessi debba dar luogo ad azioni penali» e «della necessità di rendere tali condotte passibili di sanzioni penali effettive, proporzionate e </w:t>
      </w:r>
      <w:r w:rsidRPr="003E6B9F">
        <w:rPr>
          <w:rFonts w:ascii="Times New Roman" w:eastAsia="Times New Roman" w:hAnsi="Times New Roman" w:cs="Times New Roman"/>
          <w:sz w:val="24"/>
          <w:szCs w:val="24"/>
          <w:lang w:eastAsia="it-IT"/>
        </w:rPr>
        <w:lastRenderedPageBreak/>
        <w:t>dissuasive, fatta salva l’applicazione di altre sanzioni in taluni casi opportuni, e di prevedere, almeno nei casi gravi, delle pene privative della libertà».</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5" w:name="point5"/>
      <w:r w:rsidRPr="003E6B9F">
        <w:rPr>
          <w:rFonts w:ascii="Times New Roman" w:eastAsia="Times New Roman" w:hAnsi="Times New Roman" w:cs="Times New Roman"/>
          <w:sz w:val="24"/>
          <w:szCs w:val="24"/>
          <w:lang w:eastAsia="it-IT"/>
        </w:rPr>
        <w:t>5</w:t>
      </w:r>
      <w:bookmarkEnd w:id="5"/>
      <w:r w:rsidRPr="003E6B9F">
        <w:rPr>
          <w:rFonts w:ascii="Times New Roman" w:eastAsia="Times New Roman" w:hAnsi="Times New Roman" w:cs="Times New Roman"/>
          <w:sz w:val="24"/>
          <w:szCs w:val="24"/>
          <w:lang w:eastAsia="it-IT"/>
        </w:rPr>
        <w:t>        L’articolo 1, paragrafo 1, della Convenzione PIF così dispone:</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«Ai fini della presente convenzione costituisce frode che lede gli interessi finanziari delle Comunità europee:</w:t>
      </w:r>
    </w:p>
    <w:p w:rsidR="003E6B9F" w:rsidRPr="003E6B9F" w:rsidRDefault="003E6B9F" w:rsidP="003E6B9F">
      <w:pPr>
        <w:spacing w:after="240" w:line="240" w:lineRule="auto"/>
        <w:ind w:left="1134" w:hanging="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w:t>
      </w:r>
    </w:p>
    <w:p w:rsidR="003E6B9F" w:rsidRPr="003E6B9F" w:rsidRDefault="003E6B9F" w:rsidP="003E6B9F">
      <w:pPr>
        <w:spacing w:after="240" w:line="240" w:lineRule="auto"/>
        <w:ind w:left="1134" w:hanging="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b)      in materia di entrate, qualsiasi azione od omissione intenzionale relativa:</w:t>
      </w:r>
    </w:p>
    <w:p w:rsidR="003E6B9F" w:rsidRPr="003E6B9F" w:rsidRDefault="003E6B9F" w:rsidP="003E6B9F">
      <w:pPr>
        <w:spacing w:before="100" w:beforeAutospacing="1" w:after="240" w:line="240" w:lineRule="auto"/>
        <w:ind w:left="1701" w:hanging="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        all’utilizzo o alla presentazione di dichiarazioni o documenti falsi, inesatti o incompleti cui consegua la diminuzione illegittima di risorse del bilancio generale delle Comunità europee o dei bilanci gestiti dalle Comunità europee o per conto di esse;</w:t>
      </w:r>
    </w:p>
    <w:p w:rsidR="003E6B9F" w:rsidRPr="003E6B9F" w:rsidRDefault="003E6B9F" w:rsidP="003E6B9F">
      <w:pPr>
        <w:spacing w:before="100" w:beforeAutospacing="1" w:after="240" w:line="240" w:lineRule="auto"/>
        <w:ind w:left="1701" w:hanging="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        (...)».</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6" w:name="point6"/>
      <w:r w:rsidRPr="003E6B9F">
        <w:rPr>
          <w:rFonts w:ascii="Times New Roman" w:eastAsia="Times New Roman" w:hAnsi="Times New Roman" w:cs="Times New Roman"/>
          <w:sz w:val="24"/>
          <w:szCs w:val="24"/>
          <w:lang w:eastAsia="it-IT"/>
        </w:rPr>
        <w:t>6</w:t>
      </w:r>
      <w:bookmarkEnd w:id="6"/>
      <w:r w:rsidRPr="003E6B9F">
        <w:rPr>
          <w:rFonts w:ascii="Times New Roman" w:eastAsia="Times New Roman" w:hAnsi="Times New Roman" w:cs="Times New Roman"/>
          <w:sz w:val="24"/>
          <w:szCs w:val="24"/>
          <w:lang w:eastAsia="it-IT"/>
        </w:rPr>
        <w:t>        L’articolo 2, paragrafo 1, di tale Convenzione prevede quanto segue:</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 xml:space="preserve">«Ogni Stato membro prende le misure necessarie affinché le condotte di cui all’articolo 1 nonché la complicità, l’istigazione o il tentativo relativi alle condotte descritte all’articolo 1, paragrafo 1, siano passibili di sanzioni penali effettive, proporzionate e dissuasive che comprendano, almeno, nei casi di frode grave, pene privative della libertà che possono comportare l’estradizione, rimanendo inteso che </w:t>
      </w:r>
      <w:proofErr w:type="spellStart"/>
      <w:r w:rsidRPr="003E6B9F">
        <w:rPr>
          <w:rFonts w:ascii="Times New Roman" w:eastAsia="Times New Roman" w:hAnsi="Times New Roman" w:cs="Times New Roman"/>
          <w:sz w:val="24"/>
          <w:szCs w:val="24"/>
          <w:lang w:eastAsia="it-IT"/>
        </w:rPr>
        <w:t>dev</w:t>
      </w:r>
      <w:proofErr w:type="spellEnd"/>
      <w:r w:rsidRPr="003E6B9F">
        <w:rPr>
          <w:rFonts w:ascii="Times New Roman" w:eastAsia="Times New Roman" w:hAnsi="Times New Roman" w:cs="Times New Roman"/>
          <w:sz w:val="24"/>
          <w:szCs w:val="24"/>
          <w:lang w:eastAsia="it-IT"/>
        </w:rPr>
        <w:t>’essere considerata frode grave qualsiasi frode riguardante un importo minimo da determinare in ciascuno Stato membro. Tale importo minimo non può essere superiore a [EUR] 50 000 (...)».</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 La direttiva 2006/112</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7" w:name="point7"/>
      <w:r w:rsidRPr="003E6B9F">
        <w:rPr>
          <w:rFonts w:ascii="Times New Roman" w:eastAsia="Times New Roman" w:hAnsi="Times New Roman" w:cs="Times New Roman"/>
          <w:sz w:val="24"/>
          <w:szCs w:val="24"/>
          <w:lang w:eastAsia="it-IT"/>
        </w:rPr>
        <w:t>7</w:t>
      </w:r>
      <w:bookmarkEnd w:id="7"/>
      <w:r w:rsidRPr="003E6B9F">
        <w:rPr>
          <w:rFonts w:ascii="Times New Roman" w:eastAsia="Times New Roman" w:hAnsi="Times New Roman" w:cs="Times New Roman"/>
          <w:sz w:val="24"/>
          <w:szCs w:val="24"/>
          <w:lang w:eastAsia="it-IT"/>
        </w:rPr>
        <w:t>        L’articolo 131 della direttiva 2006/112 dispone che:</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«Le esenzioni previste ai capi da 2 a 9 [del titolo IX della direttiva 2006/112] si applicano, salvo le altre disposizioni comunitarie e alle condizioni che gli Stati membri stabiliscono per assicurare la corretta e semplice applicazione delle medesime esenzioni e per prevenire ogni possibile evasione, elusione e abuso».</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8" w:name="point8"/>
      <w:r w:rsidRPr="003E6B9F">
        <w:rPr>
          <w:rFonts w:ascii="Times New Roman" w:eastAsia="Times New Roman" w:hAnsi="Times New Roman" w:cs="Times New Roman"/>
          <w:sz w:val="24"/>
          <w:szCs w:val="24"/>
          <w:lang w:eastAsia="it-IT"/>
        </w:rPr>
        <w:t>8</w:t>
      </w:r>
      <w:bookmarkEnd w:id="8"/>
      <w:r w:rsidRPr="003E6B9F">
        <w:rPr>
          <w:rFonts w:ascii="Times New Roman" w:eastAsia="Times New Roman" w:hAnsi="Times New Roman" w:cs="Times New Roman"/>
          <w:sz w:val="24"/>
          <w:szCs w:val="24"/>
          <w:lang w:eastAsia="it-IT"/>
        </w:rPr>
        <w:t>        L’articolo 138, paragrafo 1, di tale direttiva prevede quanto segue:</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«Gli Stati membri esentano le cessioni di beni spediti o trasportati, fuori del loro rispettivo territorio ma nella Comunità, dal venditore, dall’acquirente o per loro conto, effettuate nei confronti di un altro soggetto passivo, o di un ente non soggetto passivo, che agisce in quanto tale in uno Stato membro diverso dallo Stato membro di partenza della spedizione o del trasporto dei beni».</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9" w:name="point9"/>
      <w:r w:rsidRPr="003E6B9F">
        <w:rPr>
          <w:rFonts w:ascii="Times New Roman" w:eastAsia="Times New Roman" w:hAnsi="Times New Roman" w:cs="Times New Roman"/>
          <w:sz w:val="24"/>
          <w:szCs w:val="24"/>
          <w:lang w:eastAsia="it-IT"/>
        </w:rPr>
        <w:t>9</w:t>
      </w:r>
      <w:bookmarkEnd w:id="9"/>
      <w:r w:rsidRPr="003E6B9F">
        <w:rPr>
          <w:rFonts w:ascii="Times New Roman" w:eastAsia="Times New Roman" w:hAnsi="Times New Roman" w:cs="Times New Roman"/>
          <w:sz w:val="24"/>
          <w:szCs w:val="24"/>
          <w:lang w:eastAsia="it-IT"/>
        </w:rPr>
        <w:t>        L’articolo 158 della suddetta direttiva dispone quanto segue:</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«1.      (...) gli Stati membri possono prevedere un regime di deposito diverso da quello doganale nei casi seguenti:</w:t>
      </w:r>
    </w:p>
    <w:p w:rsidR="003E6B9F" w:rsidRPr="003E6B9F" w:rsidRDefault="003E6B9F" w:rsidP="003E6B9F">
      <w:pPr>
        <w:spacing w:after="240" w:line="240" w:lineRule="auto"/>
        <w:ind w:left="1134" w:hanging="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a)      per i beni destinati a punti di vendita in esenzione da imposte (...);</w:t>
      </w:r>
    </w:p>
    <w:p w:rsidR="003E6B9F" w:rsidRPr="003E6B9F" w:rsidRDefault="003E6B9F" w:rsidP="003E6B9F">
      <w:pPr>
        <w:spacing w:after="240" w:line="240" w:lineRule="auto"/>
        <w:ind w:left="1134" w:hanging="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lastRenderedPageBreak/>
        <w:t>(...)</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2.      Quando si avvalgono della facoltà di esenzione di cui al paragrafo 1, lettera a), gli Stati membri adottano le misure necessarie per assicurare l’applicazione corretta e semplice di detta esenzione e per prevenire qualsiasi evasione, elusione e abuso.</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 La decisione 2007/436/CE</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10" w:name="point10"/>
      <w:r w:rsidRPr="003E6B9F">
        <w:rPr>
          <w:rFonts w:ascii="Times New Roman" w:eastAsia="Times New Roman" w:hAnsi="Times New Roman" w:cs="Times New Roman"/>
          <w:sz w:val="24"/>
          <w:szCs w:val="24"/>
          <w:lang w:eastAsia="it-IT"/>
        </w:rPr>
        <w:t>10</w:t>
      </w:r>
      <w:bookmarkEnd w:id="10"/>
      <w:r w:rsidRPr="003E6B9F">
        <w:rPr>
          <w:rFonts w:ascii="Times New Roman" w:eastAsia="Times New Roman" w:hAnsi="Times New Roman" w:cs="Times New Roman"/>
          <w:sz w:val="24"/>
          <w:szCs w:val="24"/>
          <w:lang w:eastAsia="it-IT"/>
        </w:rPr>
        <w:t xml:space="preserve">      L’articolo 2, paragrafo 1, della decisione 2007/436/CE, </w:t>
      </w:r>
      <w:proofErr w:type="spellStart"/>
      <w:r w:rsidRPr="003E6B9F">
        <w:rPr>
          <w:rFonts w:ascii="Times New Roman" w:eastAsia="Times New Roman" w:hAnsi="Times New Roman" w:cs="Times New Roman"/>
          <w:sz w:val="24"/>
          <w:szCs w:val="24"/>
          <w:lang w:eastAsia="it-IT"/>
        </w:rPr>
        <w:t>Euratom</w:t>
      </w:r>
      <w:proofErr w:type="spellEnd"/>
      <w:r w:rsidRPr="003E6B9F">
        <w:rPr>
          <w:rFonts w:ascii="Times New Roman" w:eastAsia="Times New Roman" w:hAnsi="Times New Roman" w:cs="Times New Roman"/>
          <w:sz w:val="24"/>
          <w:szCs w:val="24"/>
          <w:lang w:eastAsia="it-IT"/>
        </w:rPr>
        <w:t xml:space="preserve"> del Consiglio, del 7 giugno 2007, relativa al sistema delle risorse proprie delle Comunità europee (GU L 163, pag. 17), è del seguente tenore:</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«Costituiscono risorse proprie iscritte nel bilancio generale dell’Unione europea le entrate provenienti:</w:t>
      </w:r>
    </w:p>
    <w:p w:rsidR="003E6B9F" w:rsidRPr="003E6B9F" w:rsidRDefault="003E6B9F" w:rsidP="003E6B9F">
      <w:pPr>
        <w:spacing w:after="240" w:line="240" w:lineRule="auto"/>
        <w:ind w:left="1134" w:hanging="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w:t>
      </w:r>
    </w:p>
    <w:p w:rsidR="003E6B9F" w:rsidRPr="003E6B9F" w:rsidRDefault="003E6B9F" w:rsidP="003E6B9F">
      <w:pPr>
        <w:spacing w:after="240" w:line="240" w:lineRule="auto"/>
        <w:ind w:left="1134" w:hanging="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b)      (...) dall’applicazione di un’aliquota uniforme, valida per tutti gli Stati membri, agli imponibili IVA armonizzati, determinati secondo regole comunitarie. (...)».</w:t>
      </w:r>
    </w:p>
    <w:p w:rsidR="003E6B9F" w:rsidRPr="003E6B9F" w:rsidRDefault="003E6B9F" w:rsidP="003E6B9F">
      <w:pPr>
        <w:spacing w:after="240" w:line="240" w:lineRule="auto"/>
        <w:ind w:left="567"/>
        <w:jc w:val="both"/>
        <w:rPr>
          <w:rFonts w:ascii="Times New Roman" w:eastAsia="Times New Roman" w:hAnsi="Times New Roman" w:cs="Times New Roman"/>
          <w:i/>
          <w:iCs/>
          <w:sz w:val="24"/>
          <w:szCs w:val="24"/>
          <w:lang w:eastAsia="it-IT"/>
        </w:rPr>
      </w:pPr>
      <w:r w:rsidRPr="003E6B9F">
        <w:rPr>
          <w:rFonts w:ascii="Times New Roman" w:eastAsia="Times New Roman" w:hAnsi="Times New Roman" w:cs="Times New Roman"/>
          <w:i/>
          <w:iCs/>
          <w:sz w:val="24"/>
          <w:szCs w:val="24"/>
          <w:lang w:eastAsia="it-IT"/>
        </w:rPr>
        <w:t> Il diritto italiano</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11" w:name="point11"/>
      <w:r w:rsidRPr="003E6B9F">
        <w:rPr>
          <w:rFonts w:ascii="Times New Roman" w:eastAsia="Times New Roman" w:hAnsi="Times New Roman" w:cs="Times New Roman"/>
          <w:sz w:val="24"/>
          <w:szCs w:val="24"/>
          <w:lang w:eastAsia="it-IT"/>
        </w:rPr>
        <w:t>11</w:t>
      </w:r>
      <w:bookmarkEnd w:id="11"/>
      <w:r w:rsidRPr="003E6B9F">
        <w:rPr>
          <w:rFonts w:ascii="Times New Roman" w:eastAsia="Times New Roman" w:hAnsi="Times New Roman" w:cs="Times New Roman"/>
          <w:sz w:val="24"/>
          <w:szCs w:val="24"/>
          <w:lang w:eastAsia="it-IT"/>
        </w:rPr>
        <w:t>      L’articolo 157 del codice penale, come modificato dalla legge 5 dicembre 2005, n. 251 (GURI n. 285, del 7 dicembre 2005; in prosieguo: il «codice penale»), articolo riguardante la prescrizione in materia penale, prevede quanto segue:</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«La prescrizione estingue il reato decorso il tempo corrispondente al massimo della pena edittale stabilita dalla legge e comunque un tempo non inferiore a sei anni se si tratta di delitto e a quattro anni se si tratta di contravvenzione, ancorché puniti con la sola pena pecuniaria.</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12" w:name="point12"/>
      <w:r w:rsidRPr="003E6B9F">
        <w:rPr>
          <w:rFonts w:ascii="Times New Roman" w:eastAsia="Times New Roman" w:hAnsi="Times New Roman" w:cs="Times New Roman"/>
          <w:sz w:val="24"/>
          <w:szCs w:val="24"/>
          <w:lang w:eastAsia="it-IT"/>
        </w:rPr>
        <w:t>12</w:t>
      </w:r>
      <w:bookmarkEnd w:id="12"/>
      <w:r w:rsidRPr="003E6B9F">
        <w:rPr>
          <w:rFonts w:ascii="Times New Roman" w:eastAsia="Times New Roman" w:hAnsi="Times New Roman" w:cs="Times New Roman"/>
          <w:sz w:val="24"/>
          <w:szCs w:val="24"/>
          <w:lang w:eastAsia="it-IT"/>
        </w:rPr>
        <w:t>      L’articolo 158 di tale codice fissa l’inizio della decorrenza del termine della prescrizione nel modo seguente:</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«Il termine della prescrizione decorre, per il reato consumato, dal giorno della consumazione; per il reato tentato, dal giorno in cui è cessata l’attività del colpevole; per il reato permanente, dal giorno in cui è cessata la permanenza.</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13" w:name="point13"/>
      <w:r w:rsidRPr="003E6B9F">
        <w:rPr>
          <w:rFonts w:ascii="Times New Roman" w:eastAsia="Times New Roman" w:hAnsi="Times New Roman" w:cs="Times New Roman"/>
          <w:sz w:val="24"/>
          <w:szCs w:val="24"/>
          <w:lang w:eastAsia="it-IT"/>
        </w:rPr>
        <w:t>13</w:t>
      </w:r>
      <w:bookmarkEnd w:id="13"/>
      <w:r w:rsidRPr="003E6B9F">
        <w:rPr>
          <w:rFonts w:ascii="Times New Roman" w:eastAsia="Times New Roman" w:hAnsi="Times New Roman" w:cs="Times New Roman"/>
          <w:sz w:val="24"/>
          <w:szCs w:val="24"/>
          <w:lang w:eastAsia="it-IT"/>
        </w:rPr>
        <w:t>      Ai sensi dell’articolo 159 di detto codice, relativo alle regole sulla sospensione del corso della prescrizione:</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«Il corso della prescrizione rimane sospeso in ogni caso in cui la sospensione del procedimento o del processo penale o dei termini di custodia cautelare è imposta da una particolare disposizione di legge, oltre che nei casi di:</w:t>
      </w:r>
    </w:p>
    <w:p w:rsidR="003E6B9F" w:rsidRPr="003E6B9F" w:rsidRDefault="003E6B9F" w:rsidP="003E6B9F">
      <w:pPr>
        <w:spacing w:after="240" w:line="240" w:lineRule="auto"/>
        <w:ind w:left="1134" w:hanging="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1)      autorizzazione a procedere;</w:t>
      </w:r>
    </w:p>
    <w:p w:rsidR="003E6B9F" w:rsidRPr="003E6B9F" w:rsidRDefault="003E6B9F" w:rsidP="003E6B9F">
      <w:pPr>
        <w:spacing w:after="240" w:line="240" w:lineRule="auto"/>
        <w:ind w:left="1134" w:hanging="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2)      deferimento della questione ad altro giudizio;</w:t>
      </w:r>
    </w:p>
    <w:p w:rsidR="003E6B9F" w:rsidRPr="003E6B9F" w:rsidRDefault="003E6B9F" w:rsidP="003E6B9F">
      <w:pPr>
        <w:spacing w:after="240" w:line="240" w:lineRule="auto"/>
        <w:ind w:left="1134" w:hanging="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lastRenderedPageBreak/>
        <w:t>3)      sospensione del procedimento o del processo penale per ragioni di impedimento delle parti e dei difensori ovvero su richiesta dell’imputato o del suo difensore. (...)</w:t>
      </w:r>
    </w:p>
    <w:p w:rsidR="003E6B9F" w:rsidRPr="003E6B9F" w:rsidRDefault="003E6B9F" w:rsidP="003E6B9F">
      <w:pPr>
        <w:spacing w:after="240" w:line="240" w:lineRule="auto"/>
        <w:ind w:left="1134" w:hanging="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La prescrizione riprende il suo corso dal giorno in cui è cessata la causa della sospensione».</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14" w:name="point14"/>
      <w:r w:rsidRPr="003E6B9F">
        <w:rPr>
          <w:rFonts w:ascii="Times New Roman" w:eastAsia="Times New Roman" w:hAnsi="Times New Roman" w:cs="Times New Roman"/>
          <w:sz w:val="24"/>
          <w:szCs w:val="24"/>
          <w:lang w:eastAsia="it-IT"/>
        </w:rPr>
        <w:t>14</w:t>
      </w:r>
      <w:bookmarkEnd w:id="14"/>
      <w:r w:rsidRPr="003E6B9F">
        <w:rPr>
          <w:rFonts w:ascii="Times New Roman" w:eastAsia="Times New Roman" w:hAnsi="Times New Roman" w:cs="Times New Roman"/>
          <w:sz w:val="24"/>
          <w:szCs w:val="24"/>
          <w:lang w:eastAsia="it-IT"/>
        </w:rPr>
        <w:t>      L’articolo 160 del medesimo codice, che disciplina l’interruzione del corso della prescrizione, così dispone:</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«Il corso della prescrizione è interrotto dalla sentenza di condanna o dal decreto di condanna.</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Interrompono pure la prescrizione l’ordinanza che applica le misure cautelari personali e (...) il decreto di fissazione della udienza preliminare (...).</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La prescrizione interrotta comincia nuovamente a decorrere dal giorno della interruzione. Se più sono gli atti interruttivi, la prescrizione decorre dall’ultimo di essi; ma in nessun caso i termini stabiliti nell’articolo 157 possono essere prolungati oltre il termine di cui all’articolo 161, secondo comma, fatta eccezione per i reati di cui all’articolo 51, commi 3</w:t>
      </w:r>
      <w:r w:rsidRPr="003E6B9F">
        <w:rPr>
          <w:rFonts w:ascii="Times New Roman" w:eastAsia="Times New Roman" w:hAnsi="Times New Roman" w:cs="Times New Roman"/>
          <w:sz w:val="24"/>
          <w:szCs w:val="24"/>
          <w:lang w:eastAsia="it-IT"/>
        </w:rPr>
        <w:noBreakHyphen/>
        <w:t>bis e 3</w:t>
      </w:r>
      <w:r w:rsidRPr="003E6B9F">
        <w:rPr>
          <w:rFonts w:ascii="Times New Roman" w:eastAsia="Times New Roman" w:hAnsi="Times New Roman" w:cs="Times New Roman"/>
          <w:sz w:val="24"/>
          <w:szCs w:val="24"/>
          <w:lang w:eastAsia="it-IT"/>
        </w:rPr>
        <w:noBreakHyphen/>
        <w:t>quater, del codice di procedura penale».</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15" w:name="point15"/>
      <w:r w:rsidRPr="003E6B9F">
        <w:rPr>
          <w:rFonts w:ascii="Times New Roman" w:eastAsia="Times New Roman" w:hAnsi="Times New Roman" w:cs="Times New Roman"/>
          <w:sz w:val="24"/>
          <w:szCs w:val="24"/>
          <w:lang w:eastAsia="it-IT"/>
        </w:rPr>
        <w:t>15</w:t>
      </w:r>
      <w:bookmarkEnd w:id="15"/>
      <w:r w:rsidRPr="003E6B9F">
        <w:rPr>
          <w:rFonts w:ascii="Times New Roman" w:eastAsia="Times New Roman" w:hAnsi="Times New Roman" w:cs="Times New Roman"/>
          <w:sz w:val="24"/>
          <w:szCs w:val="24"/>
          <w:lang w:eastAsia="it-IT"/>
        </w:rPr>
        <w:t>      A norma dell’articolo 161 del codice penale, relativo agli effetti della sospensione e dell’interruzione:</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«La sospensione e l’interruzione della prescrizione hanno effetto per tutti coloro che hanno commesso il reato.</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Salvo che si proceda per i reati di cui all’articolo 51, commi 3</w:t>
      </w:r>
      <w:r w:rsidRPr="003E6B9F">
        <w:rPr>
          <w:rFonts w:ascii="Times New Roman" w:eastAsia="Times New Roman" w:hAnsi="Times New Roman" w:cs="Times New Roman"/>
          <w:sz w:val="24"/>
          <w:szCs w:val="24"/>
          <w:lang w:eastAsia="it-IT"/>
        </w:rPr>
        <w:noBreakHyphen/>
        <w:t>bis e 3</w:t>
      </w:r>
      <w:r w:rsidRPr="003E6B9F">
        <w:rPr>
          <w:rFonts w:ascii="Times New Roman" w:eastAsia="Times New Roman" w:hAnsi="Times New Roman" w:cs="Times New Roman"/>
          <w:sz w:val="24"/>
          <w:szCs w:val="24"/>
          <w:lang w:eastAsia="it-IT"/>
        </w:rPr>
        <w:noBreakHyphen/>
        <w:t>quater, del codice di procedura penale, in nessun caso l’interruzione della prescrizione può comportare l’aumento di più di un quarto del tempo necessario a prescrivere (...)».</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16" w:name="point16"/>
      <w:r w:rsidRPr="003E6B9F">
        <w:rPr>
          <w:rFonts w:ascii="Times New Roman" w:eastAsia="Times New Roman" w:hAnsi="Times New Roman" w:cs="Times New Roman"/>
          <w:sz w:val="24"/>
          <w:szCs w:val="24"/>
          <w:lang w:eastAsia="it-IT"/>
        </w:rPr>
        <w:t>16</w:t>
      </w:r>
      <w:bookmarkEnd w:id="16"/>
      <w:r w:rsidRPr="003E6B9F">
        <w:rPr>
          <w:rFonts w:ascii="Times New Roman" w:eastAsia="Times New Roman" w:hAnsi="Times New Roman" w:cs="Times New Roman"/>
          <w:sz w:val="24"/>
          <w:szCs w:val="24"/>
          <w:lang w:eastAsia="it-IT"/>
        </w:rPr>
        <w:t>      L’articolo 416 del codice penale punisce con la reclusione fino a sette anni i promotori di un’associazione finalizzata alla commissione di più delitti. Coloro che si limitano a partecipare ad una siffatta associazione sono puniti con la reclusione fino a cinque anni.</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17" w:name="point17"/>
      <w:r w:rsidRPr="003E6B9F">
        <w:rPr>
          <w:rFonts w:ascii="Times New Roman" w:eastAsia="Times New Roman" w:hAnsi="Times New Roman" w:cs="Times New Roman"/>
          <w:sz w:val="24"/>
          <w:szCs w:val="24"/>
          <w:lang w:eastAsia="it-IT"/>
        </w:rPr>
        <w:t>17</w:t>
      </w:r>
      <w:bookmarkEnd w:id="17"/>
      <w:r w:rsidRPr="003E6B9F">
        <w:rPr>
          <w:rFonts w:ascii="Times New Roman" w:eastAsia="Times New Roman" w:hAnsi="Times New Roman" w:cs="Times New Roman"/>
          <w:sz w:val="24"/>
          <w:szCs w:val="24"/>
          <w:lang w:eastAsia="it-IT"/>
        </w:rPr>
        <w:t>      Ai sensi dell’articolo 2 del decreto legislativo 10 marzo 2000, n. 74, recante nuova disciplina dei reati in materia di imposte sui redditi e sul valore aggiunto (GURI n. 76 del 31 marzo 2000; in prosieguo: il «d.lgs. n. 74/2000»), la presentazione di una dichiarazione IVA fraudolenta che menzioni fatture o altri documenti relativi a operazioni inesistenti è punita con la reclusione da un anno e sei mesi a sei anni. Alla stessa pena soggiace, ai sensi dell’articolo 8 del d.lgs. n. 74/2000, chiunque emetta fatture per operazioni inesistenti al fine di consentire a terzi l’evasione dell’IVA.</w:t>
      </w:r>
    </w:p>
    <w:p w:rsidR="003E6B9F" w:rsidRPr="003E6B9F" w:rsidRDefault="003E6B9F" w:rsidP="003E6B9F">
      <w:pPr>
        <w:spacing w:before="480" w:after="240" w:line="240" w:lineRule="auto"/>
        <w:ind w:left="567"/>
        <w:jc w:val="both"/>
        <w:rPr>
          <w:rFonts w:ascii="Times New Roman" w:eastAsia="Times New Roman" w:hAnsi="Times New Roman" w:cs="Times New Roman"/>
          <w:b/>
          <w:bCs/>
          <w:sz w:val="24"/>
          <w:szCs w:val="24"/>
          <w:lang w:eastAsia="it-IT"/>
        </w:rPr>
      </w:pPr>
      <w:r w:rsidRPr="003E6B9F">
        <w:rPr>
          <w:rFonts w:ascii="Times New Roman" w:eastAsia="Times New Roman" w:hAnsi="Times New Roman" w:cs="Times New Roman"/>
          <w:b/>
          <w:bCs/>
          <w:sz w:val="24"/>
          <w:szCs w:val="24"/>
          <w:lang w:eastAsia="it-IT"/>
        </w:rPr>
        <w:t> Fatti della controversia principale e questioni pregiudiziali</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18" w:name="point18"/>
      <w:r w:rsidRPr="003E6B9F">
        <w:rPr>
          <w:rFonts w:ascii="Times New Roman" w:eastAsia="Times New Roman" w:hAnsi="Times New Roman" w:cs="Times New Roman"/>
          <w:sz w:val="24"/>
          <w:szCs w:val="24"/>
          <w:lang w:eastAsia="it-IT"/>
        </w:rPr>
        <w:t>18</w:t>
      </w:r>
      <w:bookmarkEnd w:id="18"/>
      <w:r w:rsidRPr="003E6B9F">
        <w:rPr>
          <w:rFonts w:ascii="Times New Roman" w:eastAsia="Times New Roman" w:hAnsi="Times New Roman" w:cs="Times New Roman"/>
          <w:sz w:val="24"/>
          <w:szCs w:val="24"/>
          <w:lang w:eastAsia="it-IT"/>
        </w:rPr>
        <w:t xml:space="preserve">      A carico degli imputati è stato promosso, dinanzi al Tribunale di Cuneo, un procedimento penale con l’imputazione di aver costituito e organizzato, nel corso degli esercizi fiscali dal 2005 al 2009, un’associazione per delinquere allo scopo di commettere vari delitti in materia di IVA. Essi vengono infatti accusati di aver posto in essere operazioni giuridiche fraudolente, note come «frodi carosello» – che implicavano, in particolare, la costituzione di società interposte e l’emissione di falsi documenti – che avrebbero consentito l’acquisto di beni, </w:t>
      </w:r>
      <w:r w:rsidRPr="003E6B9F">
        <w:rPr>
          <w:rFonts w:ascii="Times New Roman" w:eastAsia="Times New Roman" w:hAnsi="Times New Roman" w:cs="Times New Roman"/>
          <w:sz w:val="24"/>
          <w:szCs w:val="24"/>
          <w:lang w:eastAsia="it-IT"/>
        </w:rPr>
        <w:lastRenderedPageBreak/>
        <w:t xml:space="preserve">segnatamente di bottiglie di champagne, in esenzione da IVA. Tale operazione avrebbe consentito alla società </w:t>
      </w:r>
      <w:proofErr w:type="spellStart"/>
      <w:r w:rsidRPr="003E6B9F">
        <w:rPr>
          <w:rFonts w:ascii="Times New Roman" w:eastAsia="Times New Roman" w:hAnsi="Times New Roman" w:cs="Times New Roman"/>
          <w:sz w:val="24"/>
          <w:szCs w:val="24"/>
          <w:lang w:eastAsia="it-IT"/>
        </w:rPr>
        <w:t>Planet</w:t>
      </w:r>
      <w:proofErr w:type="spellEnd"/>
      <w:r w:rsidRPr="003E6B9F">
        <w:rPr>
          <w:rFonts w:ascii="Times New Roman" w:eastAsia="Times New Roman" w:hAnsi="Times New Roman" w:cs="Times New Roman"/>
          <w:sz w:val="24"/>
          <w:szCs w:val="24"/>
          <w:lang w:eastAsia="it-IT"/>
        </w:rPr>
        <w:t xml:space="preserve"> Srl (in prosieguo: la «</w:t>
      </w:r>
      <w:proofErr w:type="spellStart"/>
      <w:r w:rsidRPr="003E6B9F">
        <w:rPr>
          <w:rFonts w:ascii="Times New Roman" w:eastAsia="Times New Roman" w:hAnsi="Times New Roman" w:cs="Times New Roman"/>
          <w:sz w:val="24"/>
          <w:szCs w:val="24"/>
          <w:lang w:eastAsia="it-IT"/>
        </w:rPr>
        <w:t>Planet</w:t>
      </w:r>
      <w:proofErr w:type="spellEnd"/>
      <w:r w:rsidRPr="003E6B9F">
        <w:rPr>
          <w:rFonts w:ascii="Times New Roman" w:eastAsia="Times New Roman" w:hAnsi="Times New Roman" w:cs="Times New Roman"/>
          <w:sz w:val="24"/>
          <w:szCs w:val="24"/>
          <w:lang w:eastAsia="it-IT"/>
        </w:rPr>
        <w:t>») di disporre di prodotti a un prezzo inferiore a quello di mercato che poteva rivendere ai suoi clienti, in tal modo falsando detto mercato.</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19" w:name="point19"/>
      <w:r w:rsidRPr="003E6B9F">
        <w:rPr>
          <w:rFonts w:ascii="Times New Roman" w:eastAsia="Times New Roman" w:hAnsi="Times New Roman" w:cs="Times New Roman"/>
          <w:sz w:val="24"/>
          <w:szCs w:val="24"/>
          <w:lang w:eastAsia="it-IT"/>
        </w:rPr>
        <w:t>19</w:t>
      </w:r>
      <w:bookmarkEnd w:id="19"/>
      <w:r w:rsidRPr="003E6B9F">
        <w:rPr>
          <w:rFonts w:ascii="Times New Roman" w:eastAsia="Times New Roman" w:hAnsi="Times New Roman" w:cs="Times New Roman"/>
          <w:sz w:val="24"/>
          <w:szCs w:val="24"/>
          <w:lang w:eastAsia="it-IT"/>
        </w:rPr>
        <w:t xml:space="preserve">      La </w:t>
      </w:r>
      <w:proofErr w:type="spellStart"/>
      <w:r w:rsidRPr="003E6B9F">
        <w:rPr>
          <w:rFonts w:ascii="Times New Roman" w:eastAsia="Times New Roman" w:hAnsi="Times New Roman" w:cs="Times New Roman"/>
          <w:sz w:val="24"/>
          <w:szCs w:val="24"/>
          <w:lang w:eastAsia="it-IT"/>
        </w:rPr>
        <w:t>Planet</w:t>
      </w:r>
      <w:proofErr w:type="spellEnd"/>
      <w:r w:rsidRPr="003E6B9F">
        <w:rPr>
          <w:rFonts w:ascii="Times New Roman" w:eastAsia="Times New Roman" w:hAnsi="Times New Roman" w:cs="Times New Roman"/>
          <w:sz w:val="24"/>
          <w:szCs w:val="24"/>
          <w:lang w:eastAsia="it-IT"/>
        </w:rPr>
        <w:t xml:space="preserve"> avrebbe ricevuto fatture emesse da tali società interposte per operazioni inesistenti. Le stesse società avrebbero tuttavia omesso di presentare la dichiarazione annuale IVA o, pur avendola presentata, non avrebbero comunque provveduto ai corrispondenti versamenti d’imposta. La </w:t>
      </w:r>
      <w:proofErr w:type="spellStart"/>
      <w:r w:rsidRPr="003E6B9F">
        <w:rPr>
          <w:rFonts w:ascii="Times New Roman" w:eastAsia="Times New Roman" w:hAnsi="Times New Roman" w:cs="Times New Roman"/>
          <w:sz w:val="24"/>
          <w:szCs w:val="24"/>
          <w:lang w:eastAsia="it-IT"/>
        </w:rPr>
        <w:t>Planet</w:t>
      </w:r>
      <w:proofErr w:type="spellEnd"/>
      <w:r w:rsidRPr="003E6B9F">
        <w:rPr>
          <w:rFonts w:ascii="Times New Roman" w:eastAsia="Times New Roman" w:hAnsi="Times New Roman" w:cs="Times New Roman"/>
          <w:sz w:val="24"/>
          <w:szCs w:val="24"/>
          <w:lang w:eastAsia="it-IT"/>
        </w:rPr>
        <w:t xml:space="preserve"> avrebbe invece annotato nella propria contabilità le fatture emesse dalle suddette società interposte detraendo indebitamente l’IVA in esse riportata e, di conseguenza, avrebbe presentato dichiarazioni annuali IVA fraudolente.</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20" w:name="point20"/>
      <w:r w:rsidRPr="003E6B9F">
        <w:rPr>
          <w:rFonts w:ascii="Times New Roman" w:eastAsia="Times New Roman" w:hAnsi="Times New Roman" w:cs="Times New Roman"/>
          <w:sz w:val="24"/>
          <w:szCs w:val="24"/>
          <w:lang w:eastAsia="it-IT"/>
        </w:rPr>
        <w:t>20</w:t>
      </w:r>
      <w:bookmarkEnd w:id="20"/>
      <w:r w:rsidRPr="003E6B9F">
        <w:rPr>
          <w:rFonts w:ascii="Times New Roman" w:eastAsia="Times New Roman" w:hAnsi="Times New Roman" w:cs="Times New Roman"/>
          <w:sz w:val="24"/>
          <w:szCs w:val="24"/>
          <w:lang w:eastAsia="it-IT"/>
        </w:rPr>
        <w:t>      Dall’ordinanza di rinvio emerge che, dopo che il procedimento sottoposto alla cognizione del giudice del rinvio è stato oggetto di vari incidenti procedurali e a seguito del rigetto delle numerose eccezioni sollevate dagli imputati nell’ambito dell’udienza preliminare svoltasi dinanzi a detto giudice, quest’ultimo è chiamato, da un lato, a pronunciare sentenza di non luogo a procedere nei confronti di uno degli imputati, il sig. </w:t>
      </w:r>
      <w:proofErr w:type="spellStart"/>
      <w:r w:rsidRPr="003E6B9F">
        <w:rPr>
          <w:rFonts w:ascii="Times New Roman" w:eastAsia="Times New Roman" w:hAnsi="Times New Roman" w:cs="Times New Roman"/>
          <w:sz w:val="24"/>
          <w:szCs w:val="24"/>
          <w:lang w:eastAsia="it-IT"/>
        </w:rPr>
        <w:t>Anakiev</w:t>
      </w:r>
      <w:proofErr w:type="spellEnd"/>
      <w:r w:rsidRPr="003E6B9F">
        <w:rPr>
          <w:rFonts w:ascii="Times New Roman" w:eastAsia="Times New Roman" w:hAnsi="Times New Roman" w:cs="Times New Roman"/>
          <w:sz w:val="24"/>
          <w:szCs w:val="24"/>
          <w:lang w:eastAsia="it-IT"/>
        </w:rPr>
        <w:t>, poiché i reati considerati risultano estinti per prescrizione nei suoi riguardi. Dall’altro, egli dovrebbe emettere decreto di rinvio a giudizio per gli altri imputati, fissando un’udienza dinanzi al giudice del dibattimento.</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21" w:name="point21"/>
      <w:r w:rsidRPr="003E6B9F">
        <w:rPr>
          <w:rFonts w:ascii="Times New Roman" w:eastAsia="Times New Roman" w:hAnsi="Times New Roman" w:cs="Times New Roman"/>
          <w:sz w:val="24"/>
          <w:szCs w:val="24"/>
          <w:lang w:eastAsia="it-IT"/>
        </w:rPr>
        <w:t>21</w:t>
      </w:r>
      <w:bookmarkEnd w:id="21"/>
      <w:r w:rsidRPr="003E6B9F">
        <w:rPr>
          <w:rFonts w:ascii="Times New Roman" w:eastAsia="Times New Roman" w:hAnsi="Times New Roman" w:cs="Times New Roman"/>
          <w:sz w:val="24"/>
          <w:szCs w:val="24"/>
          <w:lang w:eastAsia="it-IT"/>
        </w:rPr>
        <w:t>      Il giudice del rinvio precisa che i reati contestati agli imputati sono puniti, ai sensi degli articoli 2 e 8 del d.lgs. n. 74/2000, con la reclusione fino a sei anni. Il delitto di associazione per delinquere, previsto dall’articolo 416 del codice penale, di cui gli imputati potrebbero altresì essere dichiarati colpevoli, sarebbe invece punito con la reclusione fino a sette anni per i promotori dell’associazione e fino a cinque anni per i semplici partecipanti. Ne consegue che, per i promotori dell’associazione per delinquere, il termine di prescrizione è di sette anni, mentre è di sei anni per tutti gli altri. L’ultimo atto interruttivo del termine sarebbe stato il decreto di fissazione dell’udienza preliminare.</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22" w:name="point22"/>
      <w:r w:rsidRPr="003E6B9F">
        <w:rPr>
          <w:rFonts w:ascii="Times New Roman" w:eastAsia="Times New Roman" w:hAnsi="Times New Roman" w:cs="Times New Roman"/>
          <w:sz w:val="24"/>
          <w:szCs w:val="24"/>
          <w:lang w:eastAsia="it-IT"/>
        </w:rPr>
        <w:t>22</w:t>
      </w:r>
      <w:bookmarkEnd w:id="22"/>
      <w:r w:rsidRPr="003E6B9F">
        <w:rPr>
          <w:rFonts w:ascii="Times New Roman" w:eastAsia="Times New Roman" w:hAnsi="Times New Roman" w:cs="Times New Roman"/>
          <w:sz w:val="24"/>
          <w:szCs w:val="24"/>
          <w:lang w:eastAsia="it-IT"/>
        </w:rPr>
        <w:t>      Orbene, nonostante l’interruzione della prescrizione, il termine della medesima non potrebbe essere prorogato, in applicazione del combinato disposto dell’articolo 160, ultimo comma, del codice penale e dell’articolo 161 dello stesso codice (in prosieguo: le «disposizioni nazionali di cui trattasi») oltre i sette anni e sei mesi o, per i promotori dell’associazione per delinquere, oltre gli otto anni e nove mesi a decorrere dalla data di consumazione dei reati. Secondo il giudice del rinvio, è certo che tutti i reati, ove non ancora prescritti, lo saranno entro l’8 febbraio 2018, ossia prima che possa essere pronunciata sentenza definitiva nei confronti degli imputati. Da ciò conseguirebbe che questi ultimi, accusati di aver commesso una frode in materia di IVA per vari milioni di euro, potranno beneficiare di un’impunità di fatto dovuta allo scadere del termine di prescrizione.</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23" w:name="point23"/>
      <w:r w:rsidRPr="003E6B9F">
        <w:rPr>
          <w:rFonts w:ascii="Times New Roman" w:eastAsia="Times New Roman" w:hAnsi="Times New Roman" w:cs="Times New Roman"/>
          <w:sz w:val="24"/>
          <w:szCs w:val="24"/>
          <w:lang w:eastAsia="it-IT"/>
        </w:rPr>
        <w:t>23</w:t>
      </w:r>
      <w:bookmarkEnd w:id="23"/>
      <w:r w:rsidRPr="003E6B9F">
        <w:rPr>
          <w:rFonts w:ascii="Times New Roman" w:eastAsia="Times New Roman" w:hAnsi="Times New Roman" w:cs="Times New Roman"/>
          <w:sz w:val="24"/>
          <w:szCs w:val="24"/>
          <w:lang w:eastAsia="it-IT"/>
        </w:rPr>
        <w:t>      Ad avviso del giudice del rinvio, tale conseguenza era tuttavia prevedibile a causa dell’esistenza della regola sancita dal combinato disposto dell’articolo 160, ultimo comma, del codice penale e dell’articolo 161, secondo comma, dello stesso codice, regola che permettendo solamente, a seguito di interruzione della prescrizione, un prolungamento del termine di prescrizione di appena un quarto della sua durata iniziale, finisce in realtà col non interrompere la prescrizione nella maggior parte dei procedimenti penali.</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24" w:name="point24"/>
      <w:r w:rsidRPr="003E6B9F">
        <w:rPr>
          <w:rFonts w:ascii="Times New Roman" w:eastAsia="Times New Roman" w:hAnsi="Times New Roman" w:cs="Times New Roman"/>
          <w:sz w:val="24"/>
          <w:szCs w:val="24"/>
          <w:lang w:eastAsia="it-IT"/>
        </w:rPr>
        <w:t>24</w:t>
      </w:r>
      <w:bookmarkEnd w:id="24"/>
      <w:r w:rsidRPr="003E6B9F">
        <w:rPr>
          <w:rFonts w:ascii="Times New Roman" w:eastAsia="Times New Roman" w:hAnsi="Times New Roman" w:cs="Times New Roman"/>
          <w:sz w:val="24"/>
          <w:szCs w:val="24"/>
          <w:lang w:eastAsia="it-IT"/>
        </w:rPr>
        <w:t xml:space="preserve">      Orbene, i procedimenti penali relativi a una frode fiscale come quella contestata agli imputati comporterebbero, di norma, indagini assai complesse, con la conseguenza che il procedimento si protrarrebbe a lungo già nella fase delle indagini preliminari. La durata del procedimento, </w:t>
      </w:r>
      <w:r w:rsidRPr="003E6B9F">
        <w:rPr>
          <w:rFonts w:ascii="Times New Roman" w:eastAsia="Times New Roman" w:hAnsi="Times New Roman" w:cs="Times New Roman"/>
          <w:sz w:val="24"/>
          <w:szCs w:val="24"/>
          <w:lang w:eastAsia="it-IT"/>
        </w:rPr>
        <w:lastRenderedPageBreak/>
        <w:t>cumulati tutti i gradi di giudizio, sarebbe tale che, in questo tipo di casi, l’impunità di fatto costituirebbe in Italia non un’evenienza rara, ma la norma. Peraltro, sarebbe spesso impossibile per l’amministrazione tributaria italiana recuperare l’importo di imposte che abbiano fatto oggetto del reato considerato.</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25" w:name="point25"/>
      <w:r w:rsidRPr="003E6B9F">
        <w:rPr>
          <w:rFonts w:ascii="Times New Roman" w:eastAsia="Times New Roman" w:hAnsi="Times New Roman" w:cs="Times New Roman"/>
          <w:sz w:val="24"/>
          <w:szCs w:val="24"/>
          <w:lang w:eastAsia="it-IT"/>
        </w:rPr>
        <w:t>25</w:t>
      </w:r>
      <w:bookmarkEnd w:id="25"/>
      <w:r w:rsidRPr="003E6B9F">
        <w:rPr>
          <w:rFonts w:ascii="Times New Roman" w:eastAsia="Times New Roman" w:hAnsi="Times New Roman" w:cs="Times New Roman"/>
          <w:sz w:val="24"/>
          <w:szCs w:val="24"/>
          <w:lang w:eastAsia="it-IT"/>
        </w:rPr>
        <w:t>      In tale contesto, il giudice del rinvio ritiene che le disposizioni italiane di cui trattasi autorizzino indirettamente una concorrenza sleale da parte di taluni operatori economici stabiliti in Italia rispetto ad imprese con sede in altri Stati membri, con conseguente violazione dell’articolo 101 TFUE. Peraltro, tali disposizioni sarebbero idonee a favorire determinate imprese, in violazione dell’articolo 107 TFUE. Inoltre, dette disposizioni creerebbero, di fatto, un’esenzione non prevista all’articolo 158, paragrafo 2, della direttiva 2006/112. Infine, l’impunità de facto di cui godrebbero gli evasori fiscali violerebbe il principio direttivo, previsto all’articolo 119 TFUE, secondo cui gli Stati membri devono vigilare sul carattere sano delle loro finanze pubbliche.</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26" w:name="point26"/>
      <w:r w:rsidRPr="003E6B9F">
        <w:rPr>
          <w:rFonts w:ascii="Times New Roman" w:eastAsia="Times New Roman" w:hAnsi="Times New Roman" w:cs="Times New Roman"/>
          <w:sz w:val="24"/>
          <w:szCs w:val="24"/>
          <w:lang w:eastAsia="it-IT"/>
        </w:rPr>
        <w:t>26</w:t>
      </w:r>
      <w:bookmarkEnd w:id="26"/>
      <w:r w:rsidRPr="003E6B9F">
        <w:rPr>
          <w:rFonts w:ascii="Times New Roman" w:eastAsia="Times New Roman" w:hAnsi="Times New Roman" w:cs="Times New Roman"/>
          <w:sz w:val="24"/>
          <w:szCs w:val="24"/>
          <w:lang w:eastAsia="it-IT"/>
        </w:rPr>
        <w:t>      Il giudice del rinvio ritiene tuttavia che, qualora gli fosse consentito disapplicare le disposizioni nazionali di cui trattasi, sarebbe possibile garantire in Italia l’applicazione effettiva del diritto dell’Unione.</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27" w:name="point27"/>
      <w:r w:rsidRPr="003E6B9F">
        <w:rPr>
          <w:rFonts w:ascii="Times New Roman" w:eastAsia="Times New Roman" w:hAnsi="Times New Roman" w:cs="Times New Roman"/>
          <w:sz w:val="24"/>
          <w:szCs w:val="24"/>
          <w:lang w:eastAsia="it-IT"/>
        </w:rPr>
        <w:t>27</w:t>
      </w:r>
      <w:bookmarkEnd w:id="27"/>
      <w:r w:rsidRPr="003E6B9F">
        <w:rPr>
          <w:rFonts w:ascii="Times New Roman" w:eastAsia="Times New Roman" w:hAnsi="Times New Roman" w:cs="Times New Roman"/>
          <w:sz w:val="24"/>
          <w:szCs w:val="24"/>
          <w:lang w:eastAsia="it-IT"/>
        </w:rPr>
        <w:t>      Sulla base di tali considerazioni, il Tribunale di Cuneo ha deciso di sospendere il procedimento e di sottoporre alla Corte le seguenti questioni pregiudiziali:</w:t>
      </w:r>
    </w:p>
    <w:p w:rsidR="003E6B9F" w:rsidRPr="003E6B9F" w:rsidRDefault="003E6B9F" w:rsidP="003E6B9F">
      <w:pPr>
        <w:spacing w:after="240" w:line="240" w:lineRule="auto"/>
        <w:ind w:left="1134" w:hanging="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«1)      [S]e, modificando con legge n. 251 del 2005 l’art. 160 ultimo comma del codice penale italiano – nella parte in cui contempla un prolungamento del termine di prescrizione di appena un quarto a seguito di interruzione, e quindi, consentendo la prescrizione dei reati nonostante il tempestivo esercizio dell’azione penale, con conseguente impunità – sia stata infranta la norma a tutela della concorrenza contenuta nell’art. 101 del TFUE;</w:t>
      </w:r>
    </w:p>
    <w:p w:rsidR="003E6B9F" w:rsidRPr="003E6B9F" w:rsidRDefault="003E6B9F" w:rsidP="003E6B9F">
      <w:pPr>
        <w:spacing w:after="240" w:line="240" w:lineRule="auto"/>
        <w:ind w:left="1134" w:hanging="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2)      Se, modificando con legge n. 251 del 2005 l’art. 160 ultimo comma del codice penale italiano – nella parte in cui contempla un prolungamento del termine di prescrizione di appena un quarto a seguito di interruzione, e quindi, privando di conseguenze penali i reati commessi da operatori economici senza scrupoli – lo Stato italiano abbia introdotto una forma di aiuto vietata dall’art. 107 del TFUE;</w:t>
      </w:r>
    </w:p>
    <w:p w:rsidR="003E6B9F" w:rsidRPr="003E6B9F" w:rsidRDefault="003E6B9F" w:rsidP="003E6B9F">
      <w:pPr>
        <w:spacing w:after="240" w:line="240" w:lineRule="auto"/>
        <w:ind w:left="1134" w:hanging="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3)      Se, modificando con legge n. 251 del 2005 l’art. 160 ultimo comma del codice penale italiano – nella parte in cui contempla un prolungamento del termine di prescrizione di appena un quarto a seguito di interruzione, e quindi, creando un’ipotesi di impunità per coloro che strumentalizzano la direttiva comunitaria – lo Stato italiano abbia indebitamente aggiunto un’esenzione ulteriore rispetto a quelle tassativamente contemplate dall’articolo 158 della direttiva 2006/112/CE;</w:t>
      </w:r>
    </w:p>
    <w:p w:rsidR="003E6B9F" w:rsidRPr="003E6B9F" w:rsidRDefault="003E6B9F" w:rsidP="003E6B9F">
      <w:pPr>
        <w:spacing w:after="240" w:line="240" w:lineRule="auto"/>
        <w:ind w:left="1134" w:hanging="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4)      Se, modificando con legge n. 251 del 2005 l’art. 160 ultimo comma del codice penale italiano – nella parte in cui contempla un prolungamento del termine di prescrizione di appena un quarto a seguito di interruzione, e quindi, rinunciando a punire condotte che privano lo Stato delle risorse necessarie anche a far fronte agli obblighi verso l’Unione europea, sia stato violato il principio di finanze sane fissato dall’art. 119 del TFUE».</w:t>
      </w:r>
    </w:p>
    <w:p w:rsidR="003E6B9F" w:rsidRPr="003E6B9F" w:rsidRDefault="003E6B9F" w:rsidP="003E6B9F">
      <w:pPr>
        <w:spacing w:before="480" w:after="240" w:line="240" w:lineRule="auto"/>
        <w:ind w:left="567"/>
        <w:jc w:val="both"/>
        <w:rPr>
          <w:rFonts w:ascii="Times New Roman" w:eastAsia="Times New Roman" w:hAnsi="Times New Roman" w:cs="Times New Roman"/>
          <w:b/>
          <w:bCs/>
          <w:sz w:val="24"/>
          <w:szCs w:val="24"/>
          <w:lang w:eastAsia="it-IT"/>
        </w:rPr>
      </w:pPr>
      <w:r w:rsidRPr="003E6B9F">
        <w:rPr>
          <w:rFonts w:ascii="Times New Roman" w:eastAsia="Times New Roman" w:hAnsi="Times New Roman" w:cs="Times New Roman"/>
          <w:b/>
          <w:bCs/>
          <w:sz w:val="24"/>
          <w:szCs w:val="24"/>
          <w:lang w:eastAsia="it-IT"/>
        </w:rPr>
        <w:t> Sulle questioni pregiudiziali</w:t>
      </w:r>
    </w:p>
    <w:p w:rsidR="003E6B9F" w:rsidRPr="003E6B9F" w:rsidRDefault="003E6B9F" w:rsidP="003E6B9F">
      <w:pPr>
        <w:spacing w:after="240" w:line="240" w:lineRule="auto"/>
        <w:ind w:left="567"/>
        <w:jc w:val="both"/>
        <w:rPr>
          <w:rFonts w:ascii="Times New Roman" w:eastAsia="Times New Roman" w:hAnsi="Times New Roman" w:cs="Times New Roman"/>
          <w:i/>
          <w:iCs/>
          <w:sz w:val="24"/>
          <w:szCs w:val="24"/>
          <w:lang w:eastAsia="it-IT"/>
        </w:rPr>
      </w:pPr>
      <w:r w:rsidRPr="003E6B9F">
        <w:rPr>
          <w:rFonts w:ascii="Times New Roman" w:eastAsia="Times New Roman" w:hAnsi="Times New Roman" w:cs="Times New Roman"/>
          <w:i/>
          <w:iCs/>
          <w:sz w:val="24"/>
          <w:szCs w:val="24"/>
          <w:lang w:eastAsia="it-IT"/>
        </w:rPr>
        <w:t xml:space="preserve"> Sulla ricevibilità delle questioni </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28" w:name="point28"/>
      <w:r w:rsidRPr="003E6B9F">
        <w:rPr>
          <w:rFonts w:ascii="Times New Roman" w:eastAsia="Times New Roman" w:hAnsi="Times New Roman" w:cs="Times New Roman"/>
          <w:sz w:val="24"/>
          <w:szCs w:val="24"/>
          <w:lang w:eastAsia="it-IT"/>
        </w:rPr>
        <w:lastRenderedPageBreak/>
        <w:t>28</w:t>
      </w:r>
      <w:bookmarkEnd w:id="28"/>
      <w:r w:rsidRPr="003E6B9F">
        <w:rPr>
          <w:rFonts w:ascii="Times New Roman" w:eastAsia="Times New Roman" w:hAnsi="Times New Roman" w:cs="Times New Roman"/>
          <w:sz w:val="24"/>
          <w:szCs w:val="24"/>
          <w:lang w:eastAsia="it-IT"/>
        </w:rPr>
        <w:t>      Il sig. </w:t>
      </w:r>
      <w:proofErr w:type="spellStart"/>
      <w:r w:rsidRPr="003E6B9F">
        <w:rPr>
          <w:rFonts w:ascii="Times New Roman" w:eastAsia="Times New Roman" w:hAnsi="Times New Roman" w:cs="Times New Roman"/>
          <w:sz w:val="24"/>
          <w:szCs w:val="24"/>
          <w:lang w:eastAsia="it-IT"/>
        </w:rPr>
        <w:t>Anakiev</w:t>
      </w:r>
      <w:proofErr w:type="spellEnd"/>
      <w:r w:rsidRPr="003E6B9F">
        <w:rPr>
          <w:rFonts w:ascii="Times New Roman" w:eastAsia="Times New Roman" w:hAnsi="Times New Roman" w:cs="Times New Roman"/>
          <w:sz w:val="24"/>
          <w:szCs w:val="24"/>
          <w:lang w:eastAsia="it-IT"/>
        </w:rPr>
        <w:t xml:space="preserve"> nonché i governi italiano e tedesco ritengono che le questioni poste dal giudice del rinvio siano irricevibili. A tale riguardo, il sig. </w:t>
      </w:r>
      <w:proofErr w:type="spellStart"/>
      <w:r w:rsidRPr="003E6B9F">
        <w:rPr>
          <w:rFonts w:ascii="Times New Roman" w:eastAsia="Times New Roman" w:hAnsi="Times New Roman" w:cs="Times New Roman"/>
          <w:sz w:val="24"/>
          <w:szCs w:val="24"/>
          <w:lang w:eastAsia="it-IT"/>
        </w:rPr>
        <w:t>Anakiev</w:t>
      </w:r>
      <w:proofErr w:type="spellEnd"/>
      <w:r w:rsidRPr="003E6B9F">
        <w:rPr>
          <w:rFonts w:ascii="Times New Roman" w:eastAsia="Times New Roman" w:hAnsi="Times New Roman" w:cs="Times New Roman"/>
          <w:sz w:val="24"/>
          <w:szCs w:val="24"/>
          <w:lang w:eastAsia="it-IT"/>
        </w:rPr>
        <w:t xml:space="preserve"> rileva che le disposizioni di diritto nazionale che stabiliscono le regole sulla prescrizione per i reati in materia fiscale sono state oggetto di recente modifica, ragion per cui le considerazioni del giudice del rinvio risultano infondate. I governi italiano e tedesco sostengono, in sostanza, che le questioni di interpretazione poste dal giudice del rinvio sono puramente astratte o ipotetiche e non hanno alcun rapporto con la realtà effettiva o con l’oggetto del procedimento principale.</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29" w:name="point29"/>
      <w:r w:rsidRPr="003E6B9F">
        <w:rPr>
          <w:rFonts w:ascii="Times New Roman" w:eastAsia="Times New Roman" w:hAnsi="Times New Roman" w:cs="Times New Roman"/>
          <w:sz w:val="24"/>
          <w:szCs w:val="24"/>
          <w:lang w:eastAsia="it-IT"/>
        </w:rPr>
        <w:t>29</w:t>
      </w:r>
      <w:bookmarkEnd w:id="29"/>
      <w:r w:rsidRPr="003E6B9F">
        <w:rPr>
          <w:rFonts w:ascii="Times New Roman" w:eastAsia="Times New Roman" w:hAnsi="Times New Roman" w:cs="Times New Roman"/>
          <w:sz w:val="24"/>
          <w:szCs w:val="24"/>
          <w:lang w:eastAsia="it-IT"/>
        </w:rPr>
        <w:t>      In proposito, occorre rammentare che, secondo costante giurisprudenza della Corte, nell’ambito della collaborazione tra quest’ultima e i giudici nazionali istituita dall’articolo 267 TFUE, spetta esclusivamente al giudice nazionale, cui è stata sottoposta la controversia e che deve assumersi la responsabilità dell’</w:t>
      </w:r>
      <w:proofErr w:type="spellStart"/>
      <w:r w:rsidRPr="003E6B9F">
        <w:rPr>
          <w:rFonts w:ascii="Times New Roman" w:eastAsia="Times New Roman" w:hAnsi="Times New Roman" w:cs="Times New Roman"/>
          <w:sz w:val="24"/>
          <w:szCs w:val="24"/>
          <w:lang w:eastAsia="it-IT"/>
        </w:rPr>
        <w:t>emananda</w:t>
      </w:r>
      <w:proofErr w:type="spellEnd"/>
      <w:r w:rsidRPr="003E6B9F">
        <w:rPr>
          <w:rFonts w:ascii="Times New Roman" w:eastAsia="Times New Roman" w:hAnsi="Times New Roman" w:cs="Times New Roman"/>
          <w:sz w:val="24"/>
          <w:szCs w:val="24"/>
          <w:lang w:eastAsia="it-IT"/>
        </w:rPr>
        <w:t xml:space="preserve"> decisione giurisdizionale, valutare, alla luce delle particolari circostanze del caso, sia la necessità di una pronuncia pregiudiziale ai fini dell’emanazione della propria sentenza sia la rilevanza delle questioni che sottopone alla Corte. Di conseguenza, allorché le questioni sollevate riguardano l’interpretazione del diritto dell’Unione, la Corte, in via di principio, è tenuta a statuire (v., in particolare, sentenza Banco </w:t>
      </w:r>
      <w:proofErr w:type="spellStart"/>
      <w:r w:rsidRPr="003E6B9F">
        <w:rPr>
          <w:rFonts w:ascii="Times New Roman" w:eastAsia="Times New Roman" w:hAnsi="Times New Roman" w:cs="Times New Roman"/>
          <w:sz w:val="24"/>
          <w:szCs w:val="24"/>
          <w:lang w:eastAsia="it-IT"/>
        </w:rPr>
        <w:t>Privado</w:t>
      </w:r>
      <w:proofErr w:type="spellEnd"/>
      <w:r w:rsidRPr="003E6B9F">
        <w:rPr>
          <w:rFonts w:ascii="Times New Roman" w:eastAsia="Times New Roman" w:hAnsi="Times New Roman" w:cs="Times New Roman"/>
          <w:sz w:val="24"/>
          <w:szCs w:val="24"/>
          <w:lang w:eastAsia="it-IT"/>
        </w:rPr>
        <w:t xml:space="preserve"> </w:t>
      </w:r>
      <w:proofErr w:type="spellStart"/>
      <w:r w:rsidRPr="003E6B9F">
        <w:rPr>
          <w:rFonts w:ascii="Times New Roman" w:eastAsia="Times New Roman" w:hAnsi="Times New Roman" w:cs="Times New Roman"/>
          <w:sz w:val="24"/>
          <w:szCs w:val="24"/>
          <w:lang w:eastAsia="it-IT"/>
        </w:rPr>
        <w:t>Português</w:t>
      </w:r>
      <w:proofErr w:type="spellEnd"/>
      <w:r w:rsidRPr="003E6B9F">
        <w:rPr>
          <w:rFonts w:ascii="Times New Roman" w:eastAsia="Times New Roman" w:hAnsi="Times New Roman" w:cs="Times New Roman"/>
          <w:sz w:val="24"/>
          <w:szCs w:val="24"/>
          <w:lang w:eastAsia="it-IT"/>
        </w:rPr>
        <w:t xml:space="preserve"> e Massa Insolvente do Banco </w:t>
      </w:r>
      <w:proofErr w:type="spellStart"/>
      <w:r w:rsidRPr="003E6B9F">
        <w:rPr>
          <w:rFonts w:ascii="Times New Roman" w:eastAsia="Times New Roman" w:hAnsi="Times New Roman" w:cs="Times New Roman"/>
          <w:sz w:val="24"/>
          <w:szCs w:val="24"/>
          <w:lang w:eastAsia="it-IT"/>
        </w:rPr>
        <w:t>Privado</w:t>
      </w:r>
      <w:proofErr w:type="spellEnd"/>
      <w:r w:rsidRPr="003E6B9F">
        <w:rPr>
          <w:rFonts w:ascii="Times New Roman" w:eastAsia="Times New Roman" w:hAnsi="Times New Roman" w:cs="Times New Roman"/>
          <w:sz w:val="24"/>
          <w:szCs w:val="24"/>
          <w:lang w:eastAsia="it-IT"/>
        </w:rPr>
        <w:t xml:space="preserve"> </w:t>
      </w:r>
      <w:proofErr w:type="spellStart"/>
      <w:r w:rsidRPr="003E6B9F">
        <w:rPr>
          <w:rFonts w:ascii="Times New Roman" w:eastAsia="Times New Roman" w:hAnsi="Times New Roman" w:cs="Times New Roman"/>
          <w:sz w:val="24"/>
          <w:szCs w:val="24"/>
          <w:lang w:eastAsia="it-IT"/>
        </w:rPr>
        <w:t>Português</w:t>
      </w:r>
      <w:proofErr w:type="spellEnd"/>
      <w:r w:rsidRPr="003E6B9F">
        <w:rPr>
          <w:rFonts w:ascii="Times New Roman" w:eastAsia="Times New Roman" w:hAnsi="Times New Roman" w:cs="Times New Roman"/>
          <w:sz w:val="24"/>
          <w:szCs w:val="24"/>
          <w:lang w:eastAsia="it-IT"/>
        </w:rPr>
        <w:t>, C</w:t>
      </w:r>
      <w:r w:rsidRPr="003E6B9F">
        <w:rPr>
          <w:rFonts w:ascii="Times New Roman" w:eastAsia="Times New Roman" w:hAnsi="Times New Roman" w:cs="Times New Roman"/>
          <w:sz w:val="24"/>
          <w:szCs w:val="24"/>
          <w:lang w:eastAsia="it-IT"/>
        </w:rPr>
        <w:noBreakHyphen/>
        <w:t>667/13, EU:C:2015:151, punto 34 e giurisprudenza ivi citata).</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30" w:name="point30"/>
      <w:r w:rsidRPr="003E6B9F">
        <w:rPr>
          <w:rFonts w:ascii="Times New Roman" w:eastAsia="Times New Roman" w:hAnsi="Times New Roman" w:cs="Times New Roman"/>
          <w:sz w:val="24"/>
          <w:szCs w:val="24"/>
          <w:lang w:eastAsia="it-IT"/>
        </w:rPr>
        <w:t>30</w:t>
      </w:r>
      <w:bookmarkEnd w:id="30"/>
      <w:r w:rsidRPr="003E6B9F">
        <w:rPr>
          <w:rFonts w:ascii="Times New Roman" w:eastAsia="Times New Roman" w:hAnsi="Times New Roman" w:cs="Times New Roman"/>
          <w:sz w:val="24"/>
          <w:szCs w:val="24"/>
          <w:lang w:eastAsia="it-IT"/>
        </w:rPr>
        <w:t xml:space="preserve">      Ne consegue che le questioni relative al diritto dell’Unione godono di una presunzione di rilevanza. Il rifiuto della Corte di statuire su una questione pregiudiziale proposta da un giudice nazionale è possibile soltanto qualora appaia in modo manifesto che l’interpretazione del diritto dell’Unione richiesta non ha alcun rapporto con la realtà effettiva o con l’oggetto del procedimento principale, qualora la questione sia di tipo ipotetico o, ancora, qualora la Corte non disponga degli elementi di fatto e di diritto necessari per rispondere in modo utile alle questioni che le sono sottoposte (v., in particolare, sentenza </w:t>
      </w:r>
      <w:proofErr w:type="spellStart"/>
      <w:r w:rsidRPr="003E6B9F">
        <w:rPr>
          <w:rFonts w:ascii="Times New Roman" w:eastAsia="Times New Roman" w:hAnsi="Times New Roman" w:cs="Times New Roman"/>
          <w:sz w:val="24"/>
          <w:szCs w:val="24"/>
          <w:lang w:eastAsia="it-IT"/>
        </w:rPr>
        <w:t>Halaf</w:t>
      </w:r>
      <w:proofErr w:type="spellEnd"/>
      <w:r w:rsidRPr="003E6B9F">
        <w:rPr>
          <w:rFonts w:ascii="Times New Roman" w:eastAsia="Times New Roman" w:hAnsi="Times New Roman" w:cs="Times New Roman"/>
          <w:sz w:val="24"/>
          <w:szCs w:val="24"/>
          <w:lang w:eastAsia="it-IT"/>
        </w:rPr>
        <w:t>, C</w:t>
      </w:r>
      <w:r w:rsidRPr="003E6B9F">
        <w:rPr>
          <w:rFonts w:ascii="Times New Roman" w:eastAsia="Times New Roman" w:hAnsi="Times New Roman" w:cs="Times New Roman"/>
          <w:sz w:val="24"/>
          <w:szCs w:val="24"/>
          <w:lang w:eastAsia="it-IT"/>
        </w:rPr>
        <w:noBreakHyphen/>
        <w:t>528/11, EU:C:2013:342, punto 29 e giurisprudenza ivi citata).</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31" w:name="point31"/>
      <w:r w:rsidRPr="003E6B9F">
        <w:rPr>
          <w:rFonts w:ascii="Times New Roman" w:eastAsia="Times New Roman" w:hAnsi="Times New Roman" w:cs="Times New Roman"/>
          <w:sz w:val="24"/>
          <w:szCs w:val="24"/>
          <w:lang w:eastAsia="it-IT"/>
        </w:rPr>
        <w:t>31</w:t>
      </w:r>
      <w:bookmarkEnd w:id="31"/>
      <w:r w:rsidRPr="003E6B9F">
        <w:rPr>
          <w:rFonts w:ascii="Times New Roman" w:eastAsia="Times New Roman" w:hAnsi="Times New Roman" w:cs="Times New Roman"/>
          <w:sz w:val="24"/>
          <w:szCs w:val="24"/>
          <w:lang w:eastAsia="it-IT"/>
        </w:rPr>
        <w:t>      Tuttavia, come in sostanza rilevato dall’avvocato generale ai paragrafi 45 e seguenti delle sue conclusioni, i presupposti che possono condurre la Corte a rifiutare di pronunciarsi sulle questioni poste risultano, nel caso di specie, manifestamente insussistenti. Infatti, le indicazioni contenute nell’ordinanza di rinvio consentono alla Corte di formulare risposte utili per il giudice del rinvio. Inoltre, tali indicazioni sono idonee a consentire agli interessati menzionati all’articolo 23 dello Statuto della Corte di giustizia dell’Unione europea di pronunciarsi in modo efficace.</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32" w:name="point32"/>
      <w:r w:rsidRPr="003E6B9F">
        <w:rPr>
          <w:rFonts w:ascii="Times New Roman" w:eastAsia="Times New Roman" w:hAnsi="Times New Roman" w:cs="Times New Roman"/>
          <w:sz w:val="24"/>
          <w:szCs w:val="24"/>
          <w:lang w:eastAsia="it-IT"/>
        </w:rPr>
        <w:t>32</w:t>
      </w:r>
      <w:bookmarkEnd w:id="32"/>
      <w:r w:rsidRPr="003E6B9F">
        <w:rPr>
          <w:rFonts w:ascii="Times New Roman" w:eastAsia="Times New Roman" w:hAnsi="Times New Roman" w:cs="Times New Roman"/>
          <w:sz w:val="24"/>
          <w:szCs w:val="24"/>
          <w:lang w:eastAsia="it-IT"/>
        </w:rPr>
        <w:t>      Peraltro, dall’ordinanza di rinvio risulta chiaramente che le questioni poste alla Corte non sono affatto di tipo ipotetico e che viene individuato un rapporto con la realtà effettiva della controversia principale, dato che tali questioni vertono sull’interpretazione di varie disposizioni del diritto dell’Unione che il giudice del rinvio considera determinanti per la futura decisione che sarà chiamato a emanare nel procedimento principale, più precisamente per quel che riguarda il rinvio a giudizio degli imputati.</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33" w:name="point33"/>
      <w:r w:rsidRPr="003E6B9F">
        <w:rPr>
          <w:rFonts w:ascii="Times New Roman" w:eastAsia="Times New Roman" w:hAnsi="Times New Roman" w:cs="Times New Roman"/>
          <w:sz w:val="24"/>
          <w:szCs w:val="24"/>
          <w:lang w:eastAsia="it-IT"/>
        </w:rPr>
        <w:t>33</w:t>
      </w:r>
      <w:bookmarkEnd w:id="33"/>
      <w:r w:rsidRPr="003E6B9F">
        <w:rPr>
          <w:rFonts w:ascii="Times New Roman" w:eastAsia="Times New Roman" w:hAnsi="Times New Roman" w:cs="Times New Roman"/>
          <w:sz w:val="24"/>
          <w:szCs w:val="24"/>
          <w:lang w:eastAsia="it-IT"/>
        </w:rPr>
        <w:t>      La domanda di pronuncia pregiudiziale deve pertanto essere dichiarata ricevibile.</w:t>
      </w:r>
    </w:p>
    <w:p w:rsidR="003E6B9F" w:rsidRPr="003E6B9F" w:rsidRDefault="003E6B9F" w:rsidP="003E6B9F">
      <w:pPr>
        <w:spacing w:after="240" w:line="240" w:lineRule="auto"/>
        <w:ind w:left="567"/>
        <w:jc w:val="both"/>
        <w:rPr>
          <w:rFonts w:ascii="Times New Roman" w:eastAsia="Times New Roman" w:hAnsi="Times New Roman" w:cs="Times New Roman"/>
          <w:i/>
          <w:iCs/>
          <w:sz w:val="24"/>
          <w:szCs w:val="24"/>
          <w:lang w:eastAsia="it-IT"/>
        </w:rPr>
      </w:pPr>
      <w:r w:rsidRPr="003E6B9F">
        <w:rPr>
          <w:rFonts w:ascii="Times New Roman" w:eastAsia="Times New Roman" w:hAnsi="Times New Roman" w:cs="Times New Roman"/>
          <w:i/>
          <w:iCs/>
          <w:sz w:val="24"/>
          <w:szCs w:val="24"/>
          <w:lang w:eastAsia="it-IT"/>
        </w:rPr>
        <w:t> Sulla terza questione</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34" w:name="point34"/>
      <w:r w:rsidRPr="003E6B9F">
        <w:rPr>
          <w:rFonts w:ascii="Times New Roman" w:eastAsia="Times New Roman" w:hAnsi="Times New Roman" w:cs="Times New Roman"/>
          <w:sz w:val="24"/>
          <w:szCs w:val="24"/>
          <w:lang w:eastAsia="it-IT"/>
        </w:rPr>
        <w:t>34</w:t>
      </w:r>
      <w:bookmarkEnd w:id="34"/>
      <w:r w:rsidRPr="003E6B9F">
        <w:rPr>
          <w:rFonts w:ascii="Times New Roman" w:eastAsia="Times New Roman" w:hAnsi="Times New Roman" w:cs="Times New Roman"/>
          <w:sz w:val="24"/>
          <w:szCs w:val="24"/>
          <w:lang w:eastAsia="it-IT"/>
        </w:rPr>
        <w:t xml:space="preserve">      Con la sua terza questione, che è opportuno affrontare per prima, il giudice del rinvio chiede, in sostanza, da un lato, se una normativa nazionale in materia di prescrizione del reato come quella stabilita dalle disposizioni nazionali di cui trattasi – normativa che prevedeva, all’epoca dei fatti di cui al procedimento principale, che l’atto interruttivo verificatosi nell’ambito di </w:t>
      </w:r>
      <w:r w:rsidRPr="003E6B9F">
        <w:rPr>
          <w:rFonts w:ascii="Times New Roman" w:eastAsia="Times New Roman" w:hAnsi="Times New Roman" w:cs="Times New Roman"/>
          <w:sz w:val="24"/>
          <w:szCs w:val="24"/>
          <w:lang w:eastAsia="it-IT"/>
        </w:rPr>
        <w:lastRenderedPageBreak/>
        <w:t>procedimenti penali riguardanti reati in materia di IVA comportasse il prolungamento del termine di prescrizione di solo un quarto della sua durata iniziale, consentendo in tal modo agli imputati di beneficiare di un’impunità di fatto – determini l’introduzione di un’ipotesi di esenzione dall’IVA non prevista all’articolo 158 della direttiva 2006/112. D’altro lato, in caso di risposta affermativa a tale questione, il giudice del rinvio chiede se gli sia consentito disapplicare dette disposizioni.</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 Sulla conformità al diritto dell’Unione di una normativa nazionale come quella stabilita dalle disposizioni nazionali di cui trattasi</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35" w:name="point35"/>
      <w:r w:rsidRPr="003E6B9F">
        <w:rPr>
          <w:rFonts w:ascii="Times New Roman" w:eastAsia="Times New Roman" w:hAnsi="Times New Roman" w:cs="Times New Roman"/>
          <w:sz w:val="24"/>
          <w:szCs w:val="24"/>
          <w:lang w:eastAsia="it-IT"/>
        </w:rPr>
        <w:t>35</w:t>
      </w:r>
      <w:bookmarkEnd w:id="35"/>
      <w:r w:rsidRPr="003E6B9F">
        <w:rPr>
          <w:rFonts w:ascii="Times New Roman" w:eastAsia="Times New Roman" w:hAnsi="Times New Roman" w:cs="Times New Roman"/>
          <w:sz w:val="24"/>
          <w:szCs w:val="24"/>
          <w:lang w:eastAsia="it-IT"/>
        </w:rPr>
        <w:t>      Occorre in limine rilevare che, sebbene la terza questione faccia riferimento all’articolo 158 della direttiva 2006/112, emerge chiaramente dalla motivazione dell’ordinanza di rinvio che, con tale questione, il giudice del rinvio mira a determinare, in sostanza, se una normativa nazionale come quella stabilita dalle disposizioni di cui trattasi non si risolva in un ostacolo all’efficace lotta contro la frode in materia di IVA nello Stato membro interessato, in modo incompatibile con la direttiva 2006/112 nonché, più in generale, con il diritto dell’Unione.</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36" w:name="point36"/>
      <w:r w:rsidRPr="003E6B9F">
        <w:rPr>
          <w:rFonts w:ascii="Times New Roman" w:eastAsia="Times New Roman" w:hAnsi="Times New Roman" w:cs="Times New Roman"/>
          <w:sz w:val="24"/>
          <w:szCs w:val="24"/>
          <w:lang w:eastAsia="it-IT"/>
        </w:rPr>
        <w:t>36</w:t>
      </w:r>
      <w:bookmarkEnd w:id="36"/>
      <w:r w:rsidRPr="003E6B9F">
        <w:rPr>
          <w:rFonts w:ascii="Times New Roman" w:eastAsia="Times New Roman" w:hAnsi="Times New Roman" w:cs="Times New Roman"/>
          <w:sz w:val="24"/>
          <w:szCs w:val="24"/>
          <w:lang w:eastAsia="it-IT"/>
        </w:rPr>
        <w:t xml:space="preserve">      A tale riguardo, si deve ricordare che, in base al combinato disposto della direttiva 2006/112 e dell’articolo 4, paragrafo 3, TUE, gli Stati membri hanno non solo l’obbligo di adottare tutte le misure legislative e amministrative idonee a garantire che l’IVA dovuta nei loro rispettivi territori sia interamente riscossa, ma devono anche lottare contro la frode (v., in tal senso, sentenza </w:t>
      </w:r>
      <w:proofErr w:type="spellStart"/>
      <w:r w:rsidRPr="003E6B9F">
        <w:rPr>
          <w:rFonts w:ascii="Times New Roman" w:eastAsia="Times New Roman" w:hAnsi="Times New Roman" w:cs="Times New Roman"/>
          <w:sz w:val="24"/>
          <w:szCs w:val="24"/>
          <w:lang w:eastAsia="it-IT"/>
        </w:rPr>
        <w:t>Åkerberg</w:t>
      </w:r>
      <w:proofErr w:type="spellEnd"/>
      <w:r w:rsidRPr="003E6B9F">
        <w:rPr>
          <w:rFonts w:ascii="Times New Roman" w:eastAsia="Times New Roman" w:hAnsi="Times New Roman" w:cs="Times New Roman"/>
          <w:sz w:val="24"/>
          <w:szCs w:val="24"/>
          <w:lang w:eastAsia="it-IT"/>
        </w:rPr>
        <w:t xml:space="preserve"> </w:t>
      </w:r>
      <w:proofErr w:type="spellStart"/>
      <w:r w:rsidRPr="003E6B9F">
        <w:rPr>
          <w:rFonts w:ascii="Times New Roman" w:eastAsia="Times New Roman" w:hAnsi="Times New Roman" w:cs="Times New Roman"/>
          <w:sz w:val="24"/>
          <w:szCs w:val="24"/>
          <w:lang w:eastAsia="it-IT"/>
        </w:rPr>
        <w:t>Fransson</w:t>
      </w:r>
      <w:proofErr w:type="spellEnd"/>
      <w:r w:rsidRPr="003E6B9F">
        <w:rPr>
          <w:rFonts w:ascii="Times New Roman" w:eastAsia="Times New Roman" w:hAnsi="Times New Roman" w:cs="Times New Roman"/>
          <w:sz w:val="24"/>
          <w:szCs w:val="24"/>
          <w:lang w:eastAsia="it-IT"/>
        </w:rPr>
        <w:t>, C</w:t>
      </w:r>
      <w:r w:rsidRPr="003E6B9F">
        <w:rPr>
          <w:rFonts w:ascii="Times New Roman" w:eastAsia="Times New Roman" w:hAnsi="Times New Roman" w:cs="Times New Roman"/>
          <w:sz w:val="24"/>
          <w:szCs w:val="24"/>
          <w:lang w:eastAsia="it-IT"/>
        </w:rPr>
        <w:noBreakHyphen/>
        <w:t>617/10, EU:C:2013:105, punto 25 e giurisprudenza ivi citata).</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37" w:name="point37"/>
      <w:r w:rsidRPr="003E6B9F">
        <w:rPr>
          <w:rFonts w:ascii="Times New Roman" w:eastAsia="Times New Roman" w:hAnsi="Times New Roman" w:cs="Times New Roman"/>
          <w:sz w:val="24"/>
          <w:szCs w:val="24"/>
          <w:lang w:eastAsia="it-IT"/>
        </w:rPr>
        <w:t>37</w:t>
      </w:r>
      <w:bookmarkEnd w:id="37"/>
      <w:r w:rsidRPr="003E6B9F">
        <w:rPr>
          <w:rFonts w:ascii="Times New Roman" w:eastAsia="Times New Roman" w:hAnsi="Times New Roman" w:cs="Times New Roman"/>
          <w:sz w:val="24"/>
          <w:szCs w:val="24"/>
          <w:lang w:eastAsia="it-IT"/>
        </w:rPr>
        <w:t xml:space="preserve">      Inoltre, l’articolo 325 TFUE obbliga gli Stati membri a lottare contro le attività illecite lesive degli interessi finanziari dell’Unione con misure dissuasive ed effettive e, in particolare, li obbliga ad adottare, per combattere la frode lesiva degli interessi finanziari dell’Unione, le stesse misure che adottano per combattere la frode lesiva dei loro interessi finanziari (v. sentenza </w:t>
      </w:r>
      <w:proofErr w:type="spellStart"/>
      <w:r w:rsidRPr="003E6B9F">
        <w:rPr>
          <w:rFonts w:ascii="Times New Roman" w:eastAsia="Times New Roman" w:hAnsi="Times New Roman" w:cs="Times New Roman"/>
          <w:sz w:val="24"/>
          <w:szCs w:val="24"/>
          <w:lang w:eastAsia="it-IT"/>
        </w:rPr>
        <w:t>Åkerberg</w:t>
      </w:r>
      <w:proofErr w:type="spellEnd"/>
      <w:r w:rsidRPr="003E6B9F">
        <w:rPr>
          <w:rFonts w:ascii="Times New Roman" w:eastAsia="Times New Roman" w:hAnsi="Times New Roman" w:cs="Times New Roman"/>
          <w:sz w:val="24"/>
          <w:szCs w:val="24"/>
          <w:lang w:eastAsia="it-IT"/>
        </w:rPr>
        <w:t xml:space="preserve"> </w:t>
      </w:r>
      <w:proofErr w:type="spellStart"/>
      <w:r w:rsidRPr="003E6B9F">
        <w:rPr>
          <w:rFonts w:ascii="Times New Roman" w:eastAsia="Times New Roman" w:hAnsi="Times New Roman" w:cs="Times New Roman"/>
          <w:sz w:val="24"/>
          <w:szCs w:val="24"/>
          <w:lang w:eastAsia="it-IT"/>
        </w:rPr>
        <w:t>Fransson</w:t>
      </w:r>
      <w:proofErr w:type="spellEnd"/>
      <w:r w:rsidRPr="003E6B9F">
        <w:rPr>
          <w:rFonts w:ascii="Times New Roman" w:eastAsia="Times New Roman" w:hAnsi="Times New Roman" w:cs="Times New Roman"/>
          <w:sz w:val="24"/>
          <w:szCs w:val="24"/>
          <w:lang w:eastAsia="it-IT"/>
        </w:rPr>
        <w:t>, C</w:t>
      </w:r>
      <w:r w:rsidRPr="003E6B9F">
        <w:rPr>
          <w:rFonts w:ascii="Times New Roman" w:eastAsia="Times New Roman" w:hAnsi="Times New Roman" w:cs="Times New Roman"/>
          <w:sz w:val="24"/>
          <w:szCs w:val="24"/>
          <w:lang w:eastAsia="it-IT"/>
        </w:rPr>
        <w:noBreakHyphen/>
        <w:t>617/10, EU:C:2013:105, punto 26 e giurisprudenza ivi citata).</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38" w:name="point38"/>
      <w:r w:rsidRPr="003E6B9F">
        <w:rPr>
          <w:rFonts w:ascii="Times New Roman" w:eastAsia="Times New Roman" w:hAnsi="Times New Roman" w:cs="Times New Roman"/>
          <w:sz w:val="24"/>
          <w:szCs w:val="24"/>
          <w:lang w:eastAsia="it-IT"/>
        </w:rPr>
        <w:t>38</w:t>
      </w:r>
      <w:bookmarkEnd w:id="38"/>
      <w:r w:rsidRPr="003E6B9F">
        <w:rPr>
          <w:rFonts w:ascii="Times New Roman" w:eastAsia="Times New Roman" w:hAnsi="Times New Roman" w:cs="Times New Roman"/>
          <w:sz w:val="24"/>
          <w:szCs w:val="24"/>
          <w:lang w:eastAsia="it-IT"/>
        </w:rPr>
        <w:t xml:space="preserve">      La Corte ha in proposito sottolineato che, poiché le risorse proprie dell’Unione comprendono in particolare, ai sensi dell’articolo 2, paragrafo 1, lettera b), della decisione 2007/436, le entrate provenienti dall’applicazione di un’aliquota uniforme agli imponibili IVA armonizzati determinati secondo regole dell’Unione, sussiste quindi un nesso diretto tra la riscossione del gettito dell’IVA nell’osservanza del diritto dell’Unione applicabile e la messa a disposizione del bilancio dell’Unione delle corrispondenti risorse IVA, dal momento che qualsiasi lacuna nella riscossione del primo determina potenzialmente una riduzione delle seconde (v. sentenza </w:t>
      </w:r>
      <w:proofErr w:type="spellStart"/>
      <w:r w:rsidRPr="003E6B9F">
        <w:rPr>
          <w:rFonts w:ascii="Times New Roman" w:eastAsia="Times New Roman" w:hAnsi="Times New Roman" w:cs="Times New Roman"/>
          <w:sz w:val="24"/>
          <w:szCs w:val="24"/>
          <w:lang w:eastAsia="it-IT"/>
        </w:rPr>
        <w:t>Åkerberg</w:t>
      </w:r>
      <w:proofErr w:type="spellEnd"/>
      <w:r w:rsidRPr="003E6B9F">
        <w:rPr>
          <w:rFonts w:ascii="Times New Roman" w:eastAsia="Times New Roman" w:hAnsi="Times New Roman" w:cs="Times New Roman"/>
          <w:sz w:val="24"/>
          <w:szCs w:val="24"/>
          <w:lang w:eastAsia="it-IT"/>
        </w:rPr>
        <w:t xml:space="preserve"> </w:t>
      </w:r>
      <w:proofErr w:type="spellStart"/>
      <w:r w:rsidRPr="003E6B9F">
        <w:rPr>
          <w:rFonts w:ascii="Times New Roman" w:eastAsia="Times New Roman" w:hAnsi="Times New Roman" w:cs="Times New Roman"/>
          <w:sz w:val="24"/>
          <w:szCs w:val="24"/>
          <w:lang w:eastAsia="it-IT"/>
        </w:rPr>
        <w:t>Fransson</w:t>
      </w:r>
      <w:proofErr w:type="spellEnd"/>
      <w:r w:rsidRPr="003E6B9F">
        <w:rPr>
          <w:rFonts w:ascii="Times New Roman" w:eastAsia="Times New Roman" w:hAnsi="Times New Roman" w:cs="Times New Roman"/>
          <w:sz w:val="24"/>
          <w:szCs w:val="24"/>
          <w:lang w:eastAsia="it-IT"/>
        </w:rPr>
        <w:t>, C</w:t>
      </w:r>
      <w:r w:rsidRPr="003E6B9F">
        <w:rPr>
          <w:rFonts w:ascii="Times New Roman" w:eastAsia="Times New Roman" w:hAnsi="Times New Roman" w:cs="Times New Roman"/>
          <w:sz w:val="24"/>
          <w:szCs w:val="24"/>
          <w:lang w:eastAsia="it-IT"/>
        </w:rPr>
        <w:noBreakHyphen/>
        <w:t>617/10, EU:C:2013:105, punto 26).</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39" w:name="point39"/>
      <w:r w:rsidRPr="003E6B9F">
        <w:rPr>
          <w:rFonts w:ascii="Times New Roman" w:eastAsia="Times New Roman" w:hAnsi="Times New Roman" w:cs="Times New Roman"/>
          <w:sz w:val="24"/>
          <w:szCs w:val="24"/>
          <w:lang w:eastAsia="it-IT"/>
        </w:rPr>
        <w:t>39</w:t>
      </w:r>
      <w:bookmarkEnd w:id="39"/>
      <w:r w:rsidRPr="003E6B9F">
        <w:rPr>
          <w:rFonts w:ascii="Times New Roman" w:eastAsia="Times New Roman" w:hAnsi="Times New Roman" w:cs="Times New Roman"/>
          <w:sz w:val="24"/>
          <w:szCs w:val="24"/>
          <w:lang w:eastAsia="it-IT"/>
        </w:rPr>
        <w:t xml:space="preserve">      Se è pur vero che gli Stati membri dispongono di una libertà di scelta delle sanzioni applicabili, che possono assumere la forma di sanzioni amministrative, di sanzioni penali o di una combinazione delle due, al fine di assicurare la riscossione di tutte le entrate provenienti dall’IVA e tutelare in tal modo gli interessi finanziari dell’Unione conformemente alle disposizioni della direttiva 2006/112 e all’articolo 325 TFUE (v., in tal senso, sentenza </w:t>
      </w:r>
      <w:proofErr w:type="spellStart"/>
      <w:r w:rsidRPr="003E6B9F">
        <w:rPr>
          <w:rFonts w:ascii="Times New Roman" w:eastAsia="Times New Roman" w:hAnsi="Times New Roman" w:cs="Times New Roman"/>
          <w:sz w:val="24"/>
          <w:szCs w:val="24"/>
          <w:lang w:eastAsia="it-IT"/>
        </w:rPr>
        <w:t>Åkerberg</w:t>
      </w:r>
      <w:proofErr w:type="spellEnd"/>
      <w:r w:rsidRPr="003E6B9F">
        <w:rPr>
          <w:rFonts w:ascii="Times New Roman" w:eastAsia="Times New Roman" w:hAnsi="Times New Roman" w:cs="Times New Roman"/>
          <w:sz w:val="24"/>
          <w:szCs w:val="24"/>
          <w:lang w:eastAsia="it-IT"/>
        </w:rPr>
        <w:t xml:space="preserve"> </w:t>
      </w:r>
      <w:proofErr w:type="spellStart"/>
      <w:r w:rsidRPr="003E6B9F">
        <w:rPr>
          <w:rFonts w:ascii="Times New Roman" w:eastAsia="Times New Roman" w:hAnsi="Times New Roman" w:cs="Times New Roman"/>
          <w:sz w:val="24"/>
          <w:szCs w:val="24"/>
          <w:lang w:eastAsia="it-IT"/>
        </w:rPr>
        <w:t>Fransson</w:t>
      </w:r>
      <w:proofErr w:type="spellEnd"/>
      <w:r w:rsidRPr="003E6B9F">
        <w:rPr>
          <w:rFonts w:ascii="Times New Roman" w:eastAsia="Times New Roman" w:hAnsi="Times New Roman" w:cs="Times New Roman"/>
          <w:sz w:val="24"/>
          <w:szCs w:val="24"/>
          <w:lang w:eastAsia="it-IT"/>
        </w:rPr>
        <w:t>, C</w:t>
      </w:r>
      <w:r w:rsidRPr="003E6B9F">
        <w:rPr>
          <w:rFonts w:ascii="Times New Roman" w:eastAsia="Times New Roman" w:hAnsi="Times New Roman" w:cs="Times New Roman"/>
          <w:sz w:val="24"/>
          <w:szCs w:val="24"/>
          <w:lang w:eastAsia="it-IT"/>
        </w:rPr>
        <w:noBreakHyphen/>
        <w:t>617/10, EU:C:2013:105, punto 34 e giurisprudenza ivi citata), possono tuttavia essere indispensabili sanzioni penali per combattere in modo effettivo e dissuasivo determinate ipotesi di gravi frodi in materia di IVA.</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40" w:name="point40"/>
      <w:r w:rsidRPr="003E6B9F">
        <w:rPr>
          <w:rFonts w:ascii="Times New Roman" w:eastAsia="Times New Roman" w:hAnsi="Times New Roman" w:cs="Times New Roman"/>
          <w:sz w:val="24"/>
          <w:szCs w:val="24"/>
          <w:lang w:eastAsia="it-IT"/>
        </w:rPr>
        <w:t>40</w:t>
      </w:r>
      <w:bookmarkEnd w:id="40"/>
      <w:r w:rsidRPr="003E6B9F">
        <w:rPr>
          <w:rFonts w:ascii="Times New Roman" w:eastAsia="Times New Roman" w:hAnsi="Times New Roman" w:cs="Times New Roman"/>
          <w:sz w:val="24"/>
          <w:szCs w:val="24"/>
          <w:lang w:eastAsia="it-IT"/>
        </w:rPr>
        <w:t xml:space="preserve">      Occorre del resto ricordare che, ai sensi dell’articolo 2, paragrafo 1, della Convenzione PIF, gli Stati membri devono prendere le misure necessarie affinché le condotte che integrano una frode lesiva degli interessi finanziari dell’Unione siano passibili di sanzioni penali effettive, </w:t>
      </w:r>
      <w:r w:rsidRPr="003E6B9F">
        <w:rPr>
          <w:rFonts w:ascii="Times New Roman" w:eastAsia="Times New Roman" w:hAnsi="Times New Roman" w:cs="Times New Roman"/>
          <w:sz w:val="24"/>
          <w:szCs w:val="24"/>
          <w:lang w:eastAsia="it-IT"/>
        </w:rPr>
        <w:lastRenderedPageBreak/>
        <w:t>proporzionate e dissuasive che comprendano, almeno nei casi di frode grave, pene privative della libertà.</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41" w:name="point41"/>
      <w:r w:rsidRPr="003E6B9F">
        <w:rPr>
          <w:rFonts w:ascii="Times New Roman" w:eastAsia="Times New Roman" w:hAnsi="Times New Roman" w:cs="Times New Roman"/>
          <w:sz w:val="24"/>
          <w:szCs w:val="24"/>
          <w:lang w:eastAsia="it-IT"/>
        </w:rPr>
        <w:t>41</w:t>
      </w:r>
      <w:bookmarkEnd w:id="41"/>
      <w:r w:rsidRPr="003E6B9F">
        <w:rPr>
          <w:rFonts w:ascii="Times New Roman" w:eastAsia="Times New Roman" w:hAnsi="Times New Roman" w:cs="Times New Roman"/>
          <w:sz w:val="24"/>
          <w:szCs w:val="24"/>
          <w:lang w:eastAsia="it-IT"/>
        </w:rPr>
        <w:t xml:space="preserve">      La nozione di «frode» è definita all’articolo 1 della Convenzione PIF come «qualsiasi azione od omissione intenzionale relativa (...) all’utilizzo o alla presentazione di dichiarazioni o documenti falsi, inesatti o incompleti cui consegua la diminuzione illegittima di risorse del bilancio generale [dell’Unione] o dei bilanci gestiti [dall’Unione] o per conto di </w:t>
      </w:r>
      <w:proofErr w:type="spellStart"/>
      <w:r w:rsidRPr="003E6B9F">
        <w:rPr>
          <w:rFonts w:ascii="Times New Roman" w:eastAsia="Times New Roman" w:hAnsi="Times New Roman" w:cs="Times New Roman"/>
          <w:sz w:val="24"/>
          <w:szCs w:val="24"/>
          <w:lang w:eastAsia="it-IT"/>
        </w:rPr>
        <w:t>ess</w:t>
      </w:r>
      <w:proofErr w:type="spellEnd"/>
      <w:r w:rsidRPr="003E6B9F">
        <w:rPr>
          <w:rFonts w:ascii="Times New Roman" w:eastAsia="Times New Roman" w:hAnsi="Times New Roman" w:cs="Times New Roman"/>
          <w:sz w:val="24"/>
          <w:szCs w:val="24"/>
          <w:lang w:eastAsia="it-IT"/>
        </w:rPr>
        <w:t>[a]». Tale nozione include, di conseguenza, le entrate provenienti dall’applicazione di un’aliquota uniforme agli imponibili IVA armonizzati determinati secondo regole dell’Unione. Questa conclusione non può essere infirmata dal fatto che l’IVA non sarebbe riscossa direttamente per conto dell’Unione, poiché l’articolo 1 della Convenzione PIF non prevede affatto un presupposto del genere, che sarebbe contrario all’obiettivo di tale Convenzione di combattere con la massima determinazione le frodi che ledono gli interessi finanziari dell’Unione.</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42" w:name="point42"/>
      <w:r w:rsidRPr="003E6B9F">
        <w:rPr>
          <w:rFonts w:ascii="Times New Roman" w:eastAsia="Times New Roman" w:hAnsi="Times New Roman" w:cs="Times New Roman"/>
          <w:sz w:val="24"/>
          <w:szCs w:val="24"/>
          <w:lang w:eastAsia="it-IT"/>
        </w:rPr>
        <w:t>42</w:t>
      </w:r>
      <w:bookmarkEnd w:id="42"/>
      <w:r w:rsidRPr="003E6B9F">
        <w:rPr>
          <w:rFonts w:ascii="Times New Roman" w:eastAsia="Times New Roman" w:hAnsi="Times New Roman" w:cs="Times New Roman"/>
          <w:sz w:val="24"/>
          <w:szCs w:val="24"/>
          <w:lang w:eastAsia="it-IT"/>
        </w:rPr>
        <w:t>      Nel caso di specie, dall’ordinanza di rinvio emerge che la normativa nazionale prevede sanzioni penali per i reati perseguiti nel procedimento principale, vale a dire, in particolare, la costituzione di un’associazione per delinquere allo scopo di commettere delitti in materia di IVA nonché una frode nella medesima materia per vari milioni di euro. Si deve rilevare come simili reati costituiscano casi di frode grave che ledono gli interessi finanziari dell’Unione.</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43" w:name="point43"/>
      <w:r w:rsidRPr="003E6B9F">
        <w:rPr>
          <w:rFonts w:ascii="Times New Roman" w:eastAsia="Times New Roman" w:hAnsi="Times New Roman" w:cs="Times New Roman"/>
          <w:sz w:val="24"/>
          <w:szCs w:val="24"/>
          <w:lang w:eastAsia="it-IT"/>
        </w:rPr>
        <w:t>43</w:t>
      </w:r>
      <w:bookmarkEnd w:id="43"/>
      <w:r w:rsidRPr="003E6B9F">
        <w:rPr>
          <w:rFonts w:ascii="Times New Roman" w:eastAsia="Times New Roman" w:hAnsi="Times New Roman" w:cs="Times New Roman"/>
          <w:sz w:val="24"/>
          <w:szCs w:val="24"/>
          <w:lang w:eastAsia="it-IT"/>
        </w:rPr>
        <w:t>      Orbene, dall’insieme delle considerazioni svolte ai punti 37 e da 39 a 41 della presente sentenza emerge che gli Stati membri devono assicurarsi che casi siffatti di frode grave siano passibili di sanzioni penali dotate, in particolare, di carattere effettivo e dissuasivo. Peraltro, le misure prese a tale riguardo devono essere le stesse che gli Stati membri adottano per combattere i casi di frode di pari gravità che ledono i loro interessi finanziari.</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44" w:name="point44"/>
      <w:r w:rsidRPr="003E6B9F">
        <w:rPr>
          <w:rFonts w:ascii="Times New Roman" w:eastAsia="Times New Roman" w:hAnsi="Times New Roman" w:cs="Times New Roman"/>
          <w:sz w:val="24"/>
          <w:szCs w:val="24"/>
          <w:lang w:eastAsia="it-IT"/>
        </w:rPr>
        <w:t>44</w:t>
      </w:r>
      <w:bookmarkEnd w:id="44"/>
      <w:r w:rsidRPr="003E6B9F">
        <w:rPr>
          <w:rFonts w:ascii="Times New Roman" w:eastAsia="Times New Roman" w:hAnsi="Times New Roman" w:cs="Times New Roman"/>
          <w:sz w:val="24"/>
          <w:szCs w:val="24"/>
          <w:lang w:eastAsia="it-IT"/>
        </w:rPr>
        <w:t>      Il giudice nazionale è quindi tenuto a verificare, alla luce di tutte le circostanze di diritto e di fatto rilevanti, se le disposizioni nazionali applicabili consentano di sanzionare in modo effettivo e dissuasivo i casi di frode grave che ledono gli interessi finanziari dell’Unione.</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45" w:name="point45"/>
      <w:r w:rsidRPr="003E6B9F">
        <w:rPr>
          <w:rFonts w:ascii="Times New Roman" w:eastAsia="Times New Roman" w:hAnsi="Times New Roman" w:cs="Times New Roman"/>
          <w:sz w:val="24"/>
          <w:szCs w:val="24"/>
          <w:lang w:eastAsia="it-IT"/>
        </w:rPr>
        <w:t>45</w:t>
      </w:r>
      <w:bookmarkEnd w:id="45"/>
      <w:r w:rsidRPr="003E6B9F">
        <w:rPr>
          <w:rFonts w:ascii="Times New Roman" w:eastAsia="Times New Roman" w:hAnsi="Times New Roman" w:cs="Times New Roman"/>
          <w:sz w:val="24"/>
          <w:szCs w:val="24"/>
          <w:lang w:eastAsia="it-IT"/>
        </w:rPr>
        <w:t>      Si deve in proposito precisare che né il giudice del rinvio né gli interessati che hanno presentato osservazioni alla Corte hanno sollevato dubbi sul carattere dissuasivo, in sé, delle sanzioni penali indicate da detto giudice, ossia della pena della reclusione fino a sette anni, e neppure sulla conformità al diritto dell’Unione della previsione, nel diritto penale italiano, di un termine di prescrizione per i fatti costitutivi di una frode che lede gli interessi finanziari dell’Unione.</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46" w:name="point46"/>
      <w:r w:rsidRPr="003E6B9F">
        <w:rPr>
          <w:rFonts w:ascii="Times New Roman" w:eastAsia="Times New Roman" w:hAnsi="Times New Roman" w:cs="Times New Roman"/>
          <w:sz w:val="24"/>
          <w:szCs w:val="24"/>
          <w:lang w:eastAsia="it-IT"/>
        </w:rPr>
        <w:t>46</w:t>
      </w:r>
      <w:bookmarkEnd w:id="46"/>
      <w:r w:rsidRPr="003E6B9F">
        <w:rPr>
          <w:rFonts w:ascii="Times New Roman" w:eastAsia="Times New Roman" w:hAnsi="Times New Roman" w:cs="Times New Roman"/>
          <w:sz w:val="24"/>
          <w:szCs w:val="24"/>
          <w:lang w:eastAsia="it-IT"/>
        </w:rPr>
        <w:t>      Tuttavia, dall’ordinanza di rinvio emerge che le disposizioni nazionali di cui trattasi, introducendo una regola in base alla quale, in caso di interruzione della prescrizione per una delle cause menzionate all’articolo 160 del codice penale, il termine di prescrizione non può essere in alcun caso prolungato di oltre un quarto della sua durata iniziale, hanno per conseguenza, date la complessità e la lunghezza dei procedimenti penali che conducono all’adozione di una sentenza definitiva, di neutralizzare l’effetto temporale di una causa di interruzione della prescrizione.</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47" w:name="point47"/>
      <w:r w:rsidRPr="003E6B9F">
        <w:rPr>
          <w:rFonts w:ascii="Times New Roman" w:eastAsia="Times New Roman" w:hAnsi="Times New Roman" w:cs="Times New Roman"/>
          <w:sz w:val="24"/>
          <w:szCs w:val="24"/>
          <w:lang w:eastAsia="it-IT"/>
        </w:rPr>
        <w:t>47</w:t>
      </w:r>
      <w:bookmarkEnd w:id="47"/>
      <w:r w:rsidRPr="003E6B9F">
        <w:rPr>
          <w:rFonts w:ascii="Times New Roman" w:eastAsia="Times New Roman" w:hAnsi="Times New Roman" w:cs="Times New Roman"/>
          <w:sz w:val="24"/>
          <w:szCs w:val="24"/>
          <w:lang w:eastAsia="it-IT"/>
        </w:rPr>
        <w:t xml:space="preserve">      Qualora il giudice nazionale dovesse concludere che dall’applicazione delle disposizioni nazionali in materia di interruzione della prescrizione consegue, in un numero considerevole di casi, l’impunità penale a fronte di fatti costitutivi di una frode grave, perché tali fatti risulteranno generalmente prescritti prima che la sanzione penale prevista dalla legge possa essere inflitta con decisione giudiziaria definitiva, si dovrebbe constatare che le misure previste dal diritto nazionale per combattere contro la frode e le altre attività illegali che </w:t>
      </w:r>
      <w:r w:rsidRPr="003E6B9F">
        <w:rPr>
          <w:rFonts w:ascii="Times New Roman" w:eastAsia="Times New Roman" w:hAnsi="Times New Roman" w:cs="Times New Roman"/>
          <w:sz w:val="24"/>
          <w:szCs w:val="24"/>
          <w:lang w:eastAsia="it-IT"/>
        </w:rPr>
        <w:lastRenderedPageBreak/>
        <w:t>ledono gli interessi finanziari dell’Unione non possono essere considerate effettive e dissuasive, il che sarebbe in contrasto con l’articolo 325, paragrafo 1, TFUE, con l’articolo 2, paragrafo 1, della Convenzione PIF nonché con la direttiva 2006/112, in combinato disposto con l’articolo 4, paragrafo 3, TUE.</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48" w:name="point48"/>
      <w:r w:rsidRPr="003E6B9F">
        <w:rPr>
          <w:rFonts w:ascii="Times New Roman" w:eastAsia="Times New Roman" w:hAnsi="Times New Roman" w:cs="Times New Roman"/>
          <w:sz w:val="24"/>
          <w:szCs w:val="24"/>
          <w:lang w:eastAsia="it-IT"/>
        </w:rPr>
        <w:t>48</w:t>
      </w:r>
      <w:bookmarkEnd w:id="48"/>
      <w:r w:rsidRPr="003E6B9F">
        <w:rPr>
          <w:rFonts w:ascii="Times New Roman" w:eastAsia="Times New Roman" w:hAnsi="Times New Roman" w:cs="Times New Roman"/>
          <w:sz w:val="24"/>
          <w:szCs w:val="24"/>
          <w:lang w:eastAsia="it-IT"/>
        </w:rPr>
        <w:t>      Inoltre, il giudice nazionale dovrà verificare se le disposizioni nazionali di cui trattasi si applichino ai casi di frode in materia di IVA allo stesso modo che ai casi di frode lesivi dei soli interessi finanziari della Repubblica italiana, come richiesto dall’articolo 325, paragrafo 2, TFUE. Ciò non avverrebbe, in particolare, se l’articolo 161, secondo comma, del codice penale stabilisse termini di prescrizione più lunghi per fatti, di natura e gravità comparabili, che ledano gli interessi finanziari della Repubblica italiana. Orbene, come osservato dalla Commissione europea nell’udienza dinanzi alla Corte, e con riserva di verifica da parte del giudice nazionale, il diritto nazionale non prevede, in particolare, alcun termine assoluto di prescrizione per quel che riguarda il reato di associazione allo scopo di commettere delitti in materia di accise sui prodotti del tabacco.</w:t>
      </w:r>
    </w:p>
    <w:p w:rsidR="003E6B9F" w:rsidRPr="003E6B9F" w:rsidRDefault="003E6B9F" w:rsidP="003E6B9F">
      <w:pPr>
        <w:spacing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 Sulle conseguenze di un’eventuale incompatibilità delle disposizioni nazionali di cui trattasi con il diritto dell’Unione e sul ruolo del giudice nazionale</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49" w:name="point49"/>
      <w:r w:rsidRPr="003E6B9F">
        <w:rPr>
          <w:rFonts w:ascii="Times New Roman" w:eastAsia="Times New Roman" w:hAnsi="Times New Roman" w:cs="Times New Roman"/>
          <w:sz w:val="24"/>
          <w:szCs w:val="24"/>
          <w:lang w:eastAsia="it-IT"/>
        </w:rPr>
        <w:t>49</w:t>
      </w:r>
      <w:bookmarkEnd w:id="49"/>
      <w:r w:rsidRPr="003E6B9F">
        <w:rPr>
          <w:rFonts w:ascii="Times New Roman" w:eastAsia="Times New Roman" w:hAnsi="Times New Roman" w:cs="Times New Roman"/>
          <w:sz w:val="24"/>
          <w:szCs w:val="24"/>
          <w:lang w:eastAsia="it-IT"/>
        </w:rPr>
        <w:t>      Qualora il giudice nazionale giungesse alla conclusione che le disposizioni nazionali di cui trattasi non soddisfano gli obblighi del diritto dell’Unione relativi al carattere effettivo e dissuasivo delle misure di lotta contro le frodi all’IVA, detto giudice sarebbe tenuto a garantire la piena efficacia del diritto dell’Unione disapplicando, all’occorrenza, tali disposizioni e neutralizzando quindi la conseguenza rilevata al punto 46 della presente sentenza, senza che debba chiedere o attendere la previa rimozione di dette disposizioni in via legislativa o mediante qualsiasi altro procedimento costituzionale (v., in tal senso, sentenze Berlusconi e a., C</w:t>
      </w:r>
      <w:r w:rsidRPr="003E6B9F">
        <w:rPr>
          <w:rFonts w:ascii="Times New Roman" w:eastAsia="Times New Roman" w:hAnsi="Times New Roman" w:cs="Times New Roman"/>
          <w:sz w:val="24"/>
          <w:szCs w:val="24"/>
          <w:lang w:eastAsia="it-IT"/>
        </w:rPr>
        <w:noBreakHyphen/>
        <w:t>387/02, C</w:t>
      </w:r>
      <w:r w:rsidRPr="003E6B9F">
        <w:rPr>
          <w:rFonts w:ascii="Times New Roman" w:eastAsia="Times New Roman" w:hAnsi="Times New Roman" w:cs="Times New Roman"/>
          <w:sz w:val="24"/>
          <w:szCs w:val="24"/>
          <w:lang w:eastAsia="it-IT"/>
        </w:rPr>
        <w:noBreakHyphen/>
        <w:t>391/02 e C</w:t>
      </w:r>
      <w:r w:rsidRPr="003E6B9F">
        <w:rPr>
          <w:rFonts w:ascii="Times New Roman" w:eastAsia="Times New Roman" w:hAnsi="Times New Roman" w:cs="Times New Roman"/>
          <w:sz w:val="24"/>
          <w:szCs w:val="24"/>
          <w:lang w:eastAsia="it-IT"/>
        </w:rPr>
        <w:noBreakHyphen/>
        <w:t xml:space="preserve">403/02, EU:C:2005:270, punto 72 e giurisprudenza ivi citata, nonché </w:t>
      </w:r>
      <w:proofErr w:type="spellStart"/>
      <w:r w:rsidRPr="003E6B9F">
        <w:rPr>
          <w:rFonts w:ascii="Times New Roman" w:eastAsia="Times New Roman" w:hAnsi="Times New Roman" w:cs="Times New Roman"/>
          <w:sz w:val="24"/>
          <w:szCs w:val="24"/>
          <w:lang w:eastAsia="it-IT"/>
        </w:rPr>
        <w:t>Kücükdeveci</w:t>
      </w:r>
      <w:proofErr w:type="spellEnd"/>
      <w:r w:rsidRPr="003E6B9F">
        <w:rPr>
          <w:rFonts w:ascii="Times New Roman" w:eastAsia="Times New Roman" w:hAnsi="Times New Roman" w:cs="Times New Roman"/>
          <w:sz w:val="24"/>
          <w:szCs w:val="24"/>
          <w:lang w:eastAsia="it-IT"/>
        </w:rPr>
        <w:t>, C</w:t>
      </w:r>
      <w:r w:rsidRPr="003E6B9F">
        <w:rPr>
          <w:rFonts w:ascii="Times New Roman" w:eastAsia="Times New Roman" w:hAnsi="Times New Roman" w:cs="Times New Roman"/>
          <w:sz w:val="24"/>
          <w:szCs w:val="24"/>
          <w:lang w:eastAsia="it-IT"/>
        </w:rPr>
        <w:noBreakHyphen/>
        <w:t>555/07, EU:C:2010:21, punto 51 e giurisprudenza ivi citata).</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50" w:name="point50"/>
      <w:r w:rsidRPr="003E6B9F">
        <w:rPr>
          <w:rFonts w:ascii="Times New Roman" w:eastAsia="Times New Roman" w:hAnsi="Times New Roman" w:cs="Times New Roman"/>
          <w:sz w:val="24"/>
          <w:szCs w:val="24"/>
          <w:lang w:eastAsia="it-IT"/>
        </w:rPr>
        <w:t>50</w:t>
      </w:r>
      <w:bookmarkEnd w:id="50"/>
      <w:r w:rsidRPr="003E6B9F">
        <w:rPr>
          <w:rFonts w:ascii="Times New Roman" w:eastAsia="Times New Roman" w:hAnsi="Times New Roman" w:cs="Times New Roman"/>
          <w:sz w:val="24"/>
          <w:szCs w:val="24"/>
          <w:lang w:eastAsia="it-IT"/>
        </w:rPr>
        <w:t>      A tale riguardo, è necessario sottolineare che l’obbligo degli Stati membri di lottare contro le attività illecite lesive degli interessi finanziari dell’Unione con misure dissuasive ed effettive nonché il loro obbligo di adottare, per combattere la frode lesiva degli interessi finanziari dell’Unione, le stesse misure che adottano per combattere la frode lesiva dei loro interessi finanziari sono obblighi imposti, in particolare, dal diritto primario dell’Unione, ossia dall’articolo 325, paragrafi 1 e 2, TFUE.</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51" w:name="point51"/>
      <w:r w:rsidRPr="003E6B9F">
        <w:rPr>
          <w:rFonts w:ascii="Times New Roman" w:eastAsia="Times New Roman" w:hAnsi="Times New Roman" w:cs="Times New Roman"/>
          <w:sz w:val="24"/>
          <w:szCs w:val="24"/>
          <w:lang w:eastAsia="it-IT"/>
        </w:rPr>
        <w:t>51</w:t>
      </w:r>
      <w:bookmarkEnd w:id="51"/>
      <w:r w:rsidRPr="003E6B9F">
        <w:rPr>
          <w:rFonts w:ascii="Times New Roman" w:eastAsia="Times New Roman" w:hAnsi="Times New Roman" w:cs="Times New Roman"/>
          <w:sz w:val="24"/>
          <w:szCs w:val="24"/>
          <w:lang w:eastAsia="it-IT"/>
        </w:rPr>
        <w:t>      Tali disposizioni del diritto primario dell’Unione pongono a carico degli Stati membri un obbligo di risultato preciso e non accompagnato da alcuna condizione quanto all’applicazione della regola in esse enunciata, ricordata al punto precedente.</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52" w:name="point52"/>
      <w:r w:rsidRPr="003E6B9F">
        <w:rPr>
          <w:rFonts w:ascii="Times New Roman" w:eastAsia="Times New Roman" w:hAnsi="Times New Roman" w:cs="Times New Roman"/>
          <w:sz w:val="24"/>
          <w:szCs w:val="24"/>
          <w:lang w:eastAsia="it-IT"/>
        </w:rPr>
        <w:t>52</w:t>
      </w:r>
      <w:bookmarkEnd w:id="52"/>
      <w:r w:rsidRPr="003E6B9F">
        <w:rPr>
          <w:rFonts w:ascii="Times New Roman" w:eastAsia="Times New Roman" w:hAnsi="Times New Roman" w:cs="Times New Roman"/>
          <w:sz w:val="24"/>
          <w:szCs w:val="24"/>
          <w:lang w:eastAsia="it-IT"/>
        </w:rPr>
        <w:t>      In forza del principio del primato del diritto dell’Unione, le disposizioni dell’articolo 325, paragrafi 1 e 2, TFUE hanno l’effetto, nei loro rapporti con il diritto interno degli Stati membri, di rendere ipso iure inapplicabile, per il fatto stesso della loro entrata in vigore, qualsiasi disposizione contrastante della legislazione nazionale esistente (v. in tal senso, in particolare, sentenza ANAFE, C</w:t>
      </w:r>
      <w:r w:rsidRPr="003E6B9F">
        <w:rPr>
          <w:rFonts w:ascii="Times New Roman" w:eastAsia="Times New Roman" w:hAnsi="Times New Roman" w:cs="Times New Roman"/>
          <w:sz w:val="24"/>
          <w:szCs w:val="24"/>
          <w:lang w:eastAsia="it-IT"/>
        </w:rPr>
        <w:noBreakHyphen/>
        <w:t>606/10, EU:C:2012:348, punto 73 e giurisprudenza ivi citata).</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53" w:name="point53"/>
      <w:r w:rsidRPr="003E6B9F">
        <w:rPr>
          <w:rFonts w:ascii="Times New Roman" w:eastAsia="Times New Roman" w:hAnsi="Times New Roman" w:cs="Times New Roman"/>
          <w:sz w:val="24"/>
          <w:szCs w:val="24"/>
          <w:lang w:eastAsia="it-IT"/>
        </w:rPr>
        <w:t>53</w:t>
      </w:r>
      <w:bookmarkEnd w:id="53"/>
      <w:r w:rsidRPr="003E6B9F">
        <w:rPr>
          <w:rFonts w:ascii="Times New Roman" w:eastAsia="Times New Roman" w:hAnsi="Times New Roman" w:cs="Times New Roman"/>
          <w:sz w:val="24"/>
          <w:szCs w:val="24"/>
          <w:lang w:eastAsia="it-IT"/>
        </w:rPr>
        <w:t xml:space="preserve">      Occorre aggiungere che se il giudice nazionale dovesse decidere di disapplicare le disposizioni nazionali di cui trattasi, egli dovrà allo stesso tempo assicurarsi che i diritti fondamentali degli interessati siano rispettati. Questi ultimi, infatti, potrebbero vedersi </w:t>
      </w:r>
      <w:r w:rsidRPr="003E6B9F">
        <w:rPr>
          <w:rFonts w:ascii="Times New Roman" w:eastAsia="Times New Roman" w:hAnsi="Times New Roman" w:cs="Times New Roman"/>
          <w:sz w:val="24"/>
          <w:szCs w:val="24"/>
          <w:lang w:eastAsia="it-IT"/>
        </w:rPr>
        <w:lastRenderedPageBreak/>
        <w:t>infliggere sanzioni alle quali, con ogni probabilità, sarebbero sfuggiti in caso di applicazione delle suddette disposizioni di diritto nazionale.</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54" w:name="point54"/>
      <w:r w:rsidRPr="003E6B9F">
        <w:rPr>
          <w:rFonts w:ascii="Times New Roman" w:eastAsia="Times New Roman" w:hAnsi="Times New Roman" w:cs="Times New Roman"/>
          <w:sz w:val="24"/>
          <w:szCs w:val="24"/>
          <w:lang w:eastAsia="it-IT"/>
        </w:rPr>
        <w:t>54</w:t>
      </w:r>
      <w:bookmarkEnd w:id="54"/>
      <w:r w:rsidRPr="003E6B9F">
        <w:rPr>
          <w:rFonts w:ascii="Times New Roman" w:eastAsia="Times New Roman" w:hAnsi="Times New Roman" w:cs="Times New Roman"/>
          <w:sz w:val="24"/>
          <w:szCs w:val="24"/>
          <w:lang w:eastAsia="it-IT"/>
        </w:rPr>
        <w:t>      A tale riguardo, diversi interessati che hanno presentato osservazioni alla Corte hanno fatto riferimento all’articolo 49 della Carta dei diritti fondamentali dell’Unione europea (in prosieguo: la «Carta»), che sancisce i principi di legalità e di proporzionalità dei reati e delle pene, in base ai quali, in particolare, nessuno può essere condannato per un’azione o un’omissione che, al momento in cui è stata commessa, non costituiva reato secondo il diritto interno o il diritto internazionale.</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55" w:name="point55"/>
      <w:r w:rsidRPr="003E6B9F">
        <w:rPr>
          <w:rFonts w:ascii="Times New Roman" w:eastAsia="Times New Roman" w:hAnsi="Times New Roman" w:cs="Times New Roman"/>
          <w:sz w:val="24"/>
          <w:szCs w:val="24"/>
          <w:lang w:eastAsia="it-IT"/>
        </w:rPr>
        <w:t>55</w:t>
      </w:r>
      <w:bookmarkEnd w:id="55"/>
      <w:r w:rsidRPr="003E6B9F">
        <w:rPr>
          <w:rFonts w:ascii="Times New Roman" w:eastAsia="Times New Roman" w:hAnsi="Times New Roman" w:cs="Times New Roman"/>
          <w:sz w:val="24"/>
          <w:szCs w:val="24"/>
          <w:lang w:eastAsia="it-IT"/>
        </w:rPr>
        <w:t>      Tuttavia, con riserva di verifica da parte del giudice nazionale, la disapplicazione delle disposizioni nazionali di cui trattasi avrebbe soltanto per effetto di non abbreviare il termine di prescrizione generale nell’ambito di un procedimento penale pendente, di consentire un effettivo perseguimento dei fatti incriminati nonché di assicurare, all’occorrenza, la parità di trattamento tra le sanzioni volte a tutelare, rispettivamente, gli interessi finanziari dell’Unione e quelli della Repubblica italiana. Una disapplicazione del diritto nazionale siffatta non violerebbe i diritti degli imputati, quali garantiti dall’articolo 49 della Carta.</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56" w:name="point56"/>
      <w:r w:rsidRPr="003E6B9F">
        <w:rPr>
          <w:rFonts w:ascii="Times New Roman" w:eastAsia="Times New Roman" w:hAnsi="Times New Roman" w:cs="Times New Roman"/>
          <w:sz w:val="24"/>
          <w:szCs w:val="24"/>
          <w:lang w:eastAsia="it-IT"/>
        </w:rPr>
        <w:t>56</w:t>
      </w:r>
      <w:bookmarkEnd w:id="56"/>
      <w:r w:rsidRPr="003E6B9F">
        <w:rPr>
          <w:rFonts w:ascii="Times New Roman" w:eastAsia="Times New Roman" w:hAnsi="Times New Roman" w:cs="Times New Roman"/>
          <w:sz w:val="24"/>
          <w:szCs w:val="24"/>
          <w:lang w:eastAsia="it-IT"/>
        </w:rPr>
        <w:t xml:space="preserve">      Infatti, non ne deriverebbe affatto una condanna degli imputati per un’azione o un’omissione che, al momento in cui è stata commessa, non costituiva un reato punito dal diritto nazionale (v., per analogia, sentenza </w:t>
      </w:r>
      <w:proofErr w:type="spellStart"/>
      <w:r w:rsidRPr="003E6B9F">
        <w:rPr>
          <w:rFonts w:ascii="Times New Roman" w:eastAsia="Times New Roman" w:hAnsi="Times New Roman" w:cs="Times New Roman"/>
          <w:sz w:val="24"/>
          <w:szCs w:val="24"/>
          <w:lang w:eastAsia="it-IT"/>
        </w:rPr>
        <w:t>Niselli</w:t>
      </w:r>
      <w:proofErr w:type="spellEnd"/>
      <w:r w:rsidRPr="003E6B9F">
        <w:rPr>
          <w:rFonts w:ascii="Times New Roman" w:eastAsia="Times New Roman" w:hAnsi="Times New Roman" w:cs="Times New Roman"/>
          <w:sz w:val="24"/>
          <w:szCs w:val="24"/>
          <w:lang w:eastAsia="it-IT"/>
        </w:rPr>
        <w:t>, C</w:t>
      </w:r>
      <w:r w:rsidRPr="003E6B9F">
        <w:rPr>
          <w:rFonts w:ascii="Times New Roman" w:eastAsia="Times New Roman" w:hAnsi="Times New Roman" w:cs="Times New Roman"/>
          <w:sz w:val="24"/>
          <w:szCs w:val="24"/>
          <w:lang w:eastAsia="it-IT"/>
        </w:rPr>
        <w:noBreakHyphen/>
        <w:t>457/02, EU:C:2004:707, punto 30), né l’applicazione di una sanzione che, allo stesso momento, non era prevista da tale diritto. Al contrario, i fatti contestati agli imputati nel procedimento principale integravano, alla data della loro commissione, gli stessi reati ed erano passibili delle stesse sanzioni penali attualmente previste.</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57" w:name="point57"/>
      <w:r w:rsidRPr="003E6B9F">
        <w:rPr>
          <w:rFonts w:ascii="Times New Roman" w:eastAsia="Times New Roman" w:hAnsi="Times New Roman" w:cs="Times New Roman"/>
          <w:sz w:val="24"/>
          <w:szCs w:val="24"/>
          <w:lang w:eastAsia="it-IT"/>
        </w:rPr>
        <w:t>57</w:t>
      </w:r>
      <w:bookmarkEnd w:id="57"/>
      <w:r w:rsidRPr="003E6B9F">
        <w:rPr>
          <w:rFonts w:ascii="Times New Roman" w:eastAsia="Times New Roman" w:hAnsi="Times New Roman" w:cs="Times New Roman"/>
          <w:sz w:val="24"/>
          <w:szCs w:val="24"/>
          <w:lang w:eastAsia="it-IT"/>
        </w:rPr>
        <w:t xml:space="preserve">      La giurisprudenza della Corte europea dei diritti dell’uomo relativa all’articolo 7 della Convenzione europea per la salvaguardia dei diritti dell’uomo e delle libertà fondamentali, firmata a Roma il 4 novembre 1950, che sancisce diritti corrispondenti a quelli garantiti dall’articolo 49 della Carta, avvalora tale conclusione. Secondo tale giurisprudenza, infatti, la proroga del termine di prescrizione e la sua immediata applicazione non comportano una lesione dei diritti garantiti dall’articolo 7 della suddetta Convenzione, dato che tale disposizione non può essere interpretata nel senso che osta a un allungamento dei termini di prescrizione quando i fatti addebitati non si siano ancora prescritti [v., in tal senso, Corte </w:t>
      </w:r>
      <w:proofErr w:type="spellStart"/>
      <w:r w:rsidRPr="003E6B9F">
        <w:rPr>
          <w:rFonts w:ascii="Times New Roman" w:eastAsia="Times New Roman" w:hAnsi="Times New Roman" w:cs="Times New Roman"/>
          <w:sz w:val="24"/>
          <w:szCs w:val="24"/>
          <w:lang w:eastAsia="it-IT"/>
        </w:rPr>
        <w:t>eur</w:t>
      </w:r>
      <w:proofErr w:type="spellEnd"/>
      <w:r w:rsidRPr="003E6B9F">
        <w:rPr>
          <w:rFonts w:ascii="Times New Roman" w:eastAsia="Times New Roman" w:hAnsi="Times New Roman" w:cs="Times New Roman"/>
          <w:sz w:val="24"/>
          <w:szCs w:val="24"/>
          <w:lang w:eastAsia="it-IT"/>
        </w:rPr>
        <w:t xml:space="preserve"> </w:t>
      </w:r>
      <w:proofErr w:type="spellStart"/>
      <w:r w:rsidRPr="003E6B9F">
        <w:rPr>
          <w:rFonts w:ascii="Times New Roman" w:eastAsia="Times New Roman" w:hAnsi="Times New Roman" w:cs="Times New Roman"/>
          <w:sz w:val="24"/>
          <w:szCs w:val="24"/>
          <w:lang w:eastAsia="it-IT"/>
        </w:rPr>
        <w:t>D.U.</w:t>
      </w:r>
      <w:proofErr w:type="spellEnd"/>
      <w:r w:rsidRPr="003E6B9F">
        <w:rPr>
          <w:rFonts w:ascii="Times New Roman" w:eastAsia="Times New Roman" w:hAnsi="Times New Roman" w:cs="Times New Roman"/>
          <w:sz w:val="24"/>
          <w:szCs w:val="24"/>
          <w:lang w:eastAsia="it-IT"/>
        </w:rPr>
        <w:t xml:space="preserve">, sentenze </w:t>
      </w:r>
      <w:proofErr w:type="spellStart"/>
      <w:r w:rsidRPr="003E6B9F">
        <w:rPr>
          <w:rFonts w:ascii="Times New Roman" w:eastAsia="Times New Roman" w:hAnsi="Times New Roman" w:cs="Times New Roman"/>
          <w:sz w:val="24"/>
          <w:szCs w:val="24"/>
          <w:lang w:eastAsia="it-IT"/>
        </w:rPr>
        <w:t>Coëme</w:t>
      </w:r>
      <w:proofErr w:type="spellEnd"/>
      <w:r w:rsidRPr="003E6B9F">
        <w:rPr>
          <w:rFonts w:ascii="Times New Roman" w:eastAsia="Times New Roman" w:hAnsi="Times New Roman" w:cs="Times New Roman"/>
          <w:sz w:val="24"/>
          <w:szCs w:val="24"/>
          <w:lang w:eastAsia="it-IT"/>
        </w:rPr>
        <w:t xml:space="preserve"> e a. c. Belgio, </w:t>
      </w:r>
      <w:proofErr w:type="spellStart"/>
      <w:r w:rsidRPr="003E6B9F">
        <w:rPr>
          <w:rFonts w:ascii="Times New Roman" w:eastAsia="Times New Roman" w:hAnsi="Times New Roman" w:cs="Times New Roman"/>
          <w:sz w:val="24"/>
          <w:szCs w:val="24"/>
          <w:lang w:eastAsia="it-IT"/>
        </w:rPr>
        <w:t>nn</w:t>
      </w:r>
      <w:proofErr w:type="spellEnd"/>
      <w:r w:rsidRPr="003E6B9F">
        <w:rPr>
          <w:rFonts w:ascii="Times New Roman" w:eastAsia="Times New Roman" w:hAnsi="Times New Roman" w:cs="Times New Roman"/>
          <w:sz w:val="24"/>
          <w:szCs w:val="24"/>
          <w:lang w:eastAsia="it-IT"/>
        </w:rPr>
        <w:t>. 32492/96, 32547/96, 32548/96, 33209/96 e 33210/96, § 149, CEDU 2000</w:t>
      </w:r>
      <w:r w:rsidRPr="003E6B9F">
        <w:rPr>
          <w:rFonts w:ascii="Times New Roman" w:eastAsia="Times New Roman" w:hAnsi="Times New Roman" w:cs="Times New Roman"/>
          <w:sz w:val="24"/>
          <w:szCs w:val="24"/>
          <w:lang w:eastAsia="it-IT"/>
        </w:rPr>
        <w:noBreakHyphen/>
        <w:t xml:space="preserve">VII; Scoppola c. Italia (n. 2) del 17 settembre 2009, n. 10249/03, § 110 e giurisprudenza ivi citata, e OAO </w:t>
      </w:r>
      <w:proofErr w:type="spellStart"/>
      <w:r w:rsidRPr="003E6B9F">
        <w:rPr>
          <w:rFonts w:ascii="Times New Roman" w:eastAsia="Times New Roman" w:hAnsi="Times New Roman" w:cs="Times New Roman"/>
          <w:sz w:val="24"/>
          <w:szCs w:val="24"/>
          <w:lang w:eastAsia="it-IT"/>
        </w:rPr>
        <w:t>Neftyanaya</w:t>
      </w:r>
      <w:proofErr w:type="spellEnd"/>
      <w:r w:rsidRPr="003E6B9F">
        <w:rPr>
          <w:rFonts w:ascii="Times New Roman" w:eastAsia="Times New Roman" w:hAnsi="Times New Roman" w:cs="Times New Roman"/>
          <w:sz w:val="24"/>
          <w:szCs w:val="24"/>
          <w:lang w:eastAsia="it-IT"/>
        </w:rPr>
        <w:t xml:space="preserve"> </w:t>
      </w:r>
      <w:proofErr w:type="spellStart"/>
      <w:r w:rsidRPr="003E6B9F">
        <w:rPr>
          <w:rFonts w:ascii="Times New Roman" w:eastAsia="Times New Roman" w:hAnsi="Times New Roman" w:cs="Times New Roman"/>
          <w:sz w:val="24"/>
          <w:szCs w:val="24"/>
          <w:lang w:eastAsia="it-IT"/>
        </w:rPr>
        <w:t>Kompaniya</w:t>
      </w:r>
      <w:proofErr w:type="spellEnd"/>
      <w:r w:rsidRPr="003E6B9F">
        <w:rPr>
          <w:rFonts w:ascii="Times New Roman" w:eastAsia="Times New Roman" w:hAnsi="Times New Roman" w:cs="Times New Roman"/>
          <w:sz w:val="24"/>
          <w:szCs w:val="24"/>
          <w:lang w:eastAsia="it-IT"/>
        </w:rPr>
        <w:t xml:space="preserve"> </w:t>
      </w:r>
      <w:proofErr w:type="spellStart"/>
      <w:r w:rsidRPr="003E6B9F">
        <w:rPr>
          <w:rFonts w:ascii="Times New Roman" w:eastAsia="Times New Roman" w:hAnsi="Times New Roman" w:cs="Times New Roman"/>
          <w:sz w:val="24"/>
          <w:szCs w:val="24"/>
          <w:lang w:eastAsia="it-IT"/>
        </w:rPr>
        <w:t>Yukos</w:t>
      </w:r>
      <w:proofErr w:type="spellEnd"/>
      <w:r w:rsidRPr="003E6B9F">
        <w:rPr>
          <w:rFonts w:ascii="Times New Roman" w:eastAsia="Times New Roman" w:hAnsi="Times New Roman" w:cs="Times New Roman"/>
          <w:sz w:val="24"/>
          <w:szCs w:val="24"/>
          <w:lang w:eastAsia="it-IT"/>
        </w:rPr>
        <w:t xml:space="preserve"> c. Russia del 20 settembre 2011, n. 14902/04, </w:t>
      </w:r>
      <w:proofErr w:type="spellStart"/>
      <w:r w:rsidRPr="003E6B9F">
        <w:rPr>
          <w:rFonts w:ascii="Times New Roman" w:eastAsia="Times New Roman" w:hAnsi="Times New Roman" w:cs="Times New Roman"/>
          <w:sz w:val="24"/>
          <w:szCs w:val="24"/>
          <w:lang w:eastAsia="it-IT"/>
        </w:rPr>
        <w:t>§§</w:t>
      </w:r>
      <w:proofErr w:type="spellEnd"/>
      <w:r w:rsidRPr="003E6B9F">
        <w:rPr>
          <w:rFonts w:ascii="Times New Roman" w:eastAsia="Times New Roman" w:hAnsi="Times New Roman" w:cs="Times New Roman"/>
          <w:sz w:val="24"/>
          <w:szCs w:val="24"/>
          <w:lang w:eastAsia="it-IT"/>
        </w:rPr>
        <w:t> 563, 564 e 570 e giurisprudenza ivi citata].</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58" w:name="point58"/>
      <w:r w:rsidRPr="003E6B9F">
        <w:rPr>
          <w:rFonts w:ascii="Times New Roman" w:eastAsia="Times New Roman" w:hAnsi="Times New Roman" w:cs="Times New Roman"/>
          <w:sz w:val="24"/>
          <w:szCs w:val="24"/>
          <w:lang w:eastAsia="it-IT"/>
        </w:rPr>
        <w:t>58</w:t>
      </w:r>
      <w:bookmarkEnd w:id="58"/>
      <w:r w:rsidRPr="003E6B9F">
        <w:rPr>
          <w:rFonts w:ascii="Times New Roman" w:eastAsia="Times New Roman" w:hAnsi="Times New Roman" w:cs="Times New Roman"/>
          <w:sz w:val="24"/>
          <w:szCs w:val="24"/>
          <w:lang w:eastAsia="it-IT"/>
        </w:rPr>
        <w:t xml:space="preserve">      Alla luce delle suesposte considerazioni, occorre rispondere alla terza questione che una normativa nazionale in materia di prescrizione del reato come quella stabilita dalle disposizioni nazionali di cui trattasi – normativa che prevedeva, all’epoca dei fatti di cui al procedimento principale, che l’atto interruttivo verificatosi nell’ambito di procedimenti penali riguardanti frodi gravi in materia di IVA comportasse il prolungamento del termine di prescrizione di solo un quarto della sua durata iniziale – è idonea a pregiudicare gli obblighi imposti agli Stati membri dall’articolo 325, paragrafi 1 e 2, TFUE nell’ipotesi in cui detta normativa nazionale impedisca di infliggere sanzioni effettive e dissuasive in un numero considerevole di casi di frode grave che ledono gli interessi finanziari dell’Unione, o in cui preveda, per i casi di frode che ledono gli interessi finanziari dello Stato membro interessato, termini di prescrizione più lunghi di quelli previsti per i casi di frode che ledono gli interessi finanziari dell’Unione, circostanze che spetta al giudice nazionale verificare. Il giudice </w:t>
      </w:r>
      <w:r w:rsidRPr="003E6B9F">
        <w:rPr>
          <w:rFonts w:ascii="Times New Roman" w:eastAsia="Times New Roman" w:hAnsi="Times New Roman" w:cs="Times New Roman"/>
          <w:sz w:val="24"/>
          <w:szCs w:val="24"/>
          <w:lang w:eastAsia="it-IT"/>
        </w:rPr>
        <w:lastRenderedPageBreak/>
        <w:t>nazionale è tenuto a dare piena efficacia all’articolo 325, paragrafi 1 e 2, TFUE disapplicando, all’occorrenza, le disposizioni nazionali che abbiano per effetto di impedire allo Stato membro interessato di rispettare gli obblighi impostigli dall’articolo 325, paragrafi 1 e 2, TFUE.</w:t>
      </w:r>
    </w:p>
    <w:p w:rsidR="003E6B9F" w:rsidRPr="003E6B9F" w:rsidRDefault="003E6B9F" w:rsidP="003E6B9F">
      <w:pPr>
        <w:spacing w:after="240" w:line="240" w:lineRule="auto"/>
        <w:ind w:left="567"/>
        <w:jc w:val="both"/>
        <w:rPr>
          <w:rFonts w:ascii="Times New Roman" w:eastAsia="Times New Roman" w:hAnsi="Times New Roman" w:cs="Times New Roman"/>
          <w:i/>
          <w:iCs/>
          <w:sz w:val="24"/>
          <w:szCs w:val="24"/>
          <w:lang w:eastAsia="it-IT"/>
        </w:rPr>
      </w:pPr>
      <w:r w:rsidRPr="003E6B9F">
        <w:rPr>
          <w:rFonts w:ascii="Times New Roman" w:eastAsia="Times New Roman" w:hAnsi="Times New Roman" w:cs="Times New Roman"/>
          <w:i/>
          <w:iCs/>
          <w:sz w:val="24"/>
          <w:szCs w:val="24"/>
          <w:lang w:eastAsia="it-IT"/>
        </w:rPr>
        <w:t> Sulle questioni prima, seconda e quarta</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59" w:name="point59"/>
      <w:r w:rsidRPr="003E6B9F">
        <w:rPr>
          <w:rFonts w:ascii="Times New Roman" w:eastAsia="Times New Roman" w:hAnsi="Times New Roman" w:cs="Times New Roman"/>
          <w:sz w:val="24"/>
          <w:szCs w:val="24"/>
          <w:lang w:eastAsia="it-IT"/>
        </w:rPr>
        <w:t>59</w:t>
      </w:r>
      <w:bookmarkEnd w:id="59"/>
      <w:r w:rsidRPr="003E6B9F">
        <w:rPr>
          <w:rFonts w:ascii="Times New Roman" w:eastAsia="Times New Roman" w:hAnsi="Times New Roman" w:cs="Times New Roman"/>
          <w:sz w:val="24"/>
          <w:szCs w:val="24"/>
          <w:lang w:eastAsia="it-IT"/>
        </w:rPr>
        <w:t>      Con la sua prima, seconda e quarta questione, da esaminarsi congiuntamente, il giudice del rinvio chiede, in sostanza, se un regime di prescrizione applicabile a reati commessi in materia di IVA, come quello previsto dalle disposizioni nazionali di cui trattasi nella loro versione vigente alla data dei fatti di cui al procedimento principale, possa essere valutato alla luce degli articoli 101 TFUE, 107 TFUE e 119 TFUE.</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60" w:name="point60"/>
      <w:r w:rsidRPr="003E6B9F">
        <w:rPr>
          <w:rFonts w:ascii="Times New Roman" w:eastAsia="Times New Roman" w:hAnsi="Times New Roman" w:cs="Times New Roman"/>
          <w:sz w:val="24"/>
          <w:szCs w:val="24"/>
          <w:lang w:eastAsia="it-IT"/>
        </w:rPr>
        <w:t>60</w:t>
      </w:r>
      <w:bookmarkEnd w:id="60"/>
      <w:r w:rsidRPr="003E6B9F">
        <w:rPr>
          <w:rFonts w:ascii="Times New Roman" w:eastAsia="Times New Roman" w:hAnsi="Times New Roman" w:cs="Times New Roman"/>
          <w:sz w:val="24"/>
          <w:szCs w:val="24"/>
          <w:lang w:eastAsia="it-IT"/>
        </w:rPr>
        <w:t>      Per quanto riguarda, in primo luogo, l’articolo 101 TFUE, esso vieta tutti gli accordi tra imprese e tutte le pratiche concordate che possano pregiudicare il commercio tra gli Stati membri e che abbiano per oggetto o per effetto di impedire, restringere o falsare il gioco della concorrenza all’interno del mercato interno. Come in sostanza rilevato dall’avvocato generale al paragrafo 60 delle sue conclusioni, un’attuazione eventualmente carente delle disposizioni penali nazionali in materia di IVA non ha tuttavia una necessaria incidenza su possibili comportamenti collusivi tra imprese, contrari all’articolo 101 TFUE, in combinato disposto con l’articolo 4, paragrafo 3, TUE.</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61" w:name="point61"/>
      <w:r w:rsidRPr="003E6B9F">
        <w:rPr>
          <w:rFonts w:ascii="Times New Roman" w:eastAsia="Times New Roman" w:hAnsi="Times New Roman" w:cs="Times New Roman"/>
          <w:sz w:val="24"/>
          <w:szCs w:val="24"/>
          <w:lang w:eastAsia="it-IT"/>
        </w:rPr>
        <w:t>61</w:t>
      </w:r>
      <w:bookmarkEnd w:id="61"/>
      <w:r w:rsidRPr="003E6B9F">
        <w:rPr>
          <w:rFonts w:ascii="Times New Roman" w:eastAsia="Times New Roman" w:hAnsi="Times New Roman" w:cs="Times New Roman"/>
          <w:sz w:val="24"/>
          <w:szCs w:val="24"/>
          <w:lang w:eastAsia="it-IT"/>
        </w:rPr>
        <w:t>      Con riferimento, in secondo luogo, al divieto degli aiuti di Stato previsto all’articolo 107 TFUE, occorre ricordare che una misura mediante la quale le pubbliche autorità accordino a determinate imprese un trattamento fiscale vantaggioso che, pur non implicando un trasferimento di risorse statali, collochi i beneficiari in una situazione finanziaria più favorevole rispetto agli altri contribuenti costituisce aiuto di Stato ai sensi dell’articolo 107, paragrafo 1, TFUE (v., in particolare, sentenza P, C</w:t>
      </w:r>
      <w:r w:rsidRPr="003E6B9F">
        <w:rPr>
          <w:rFonts w:ascii="Times New Roman" w:eastAsia="Times New Roman" w:hAnsi="Times New Roman" w:cs="Times New Roman"/>
          <w:sz w:val="24"/>
          <w:szCs w:val="24"/>
          <w:lang w:eastAsia="it-IT"/>
        </w:rPr>
        <w:noBreakHyphen/>
        <w:t>6/12, EU:C:2013:525, punto 18 e giurisprudenza ivi citata).</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62" w:name="point62"/>
      <w:r w:rsidRPr="003E6B9F">
        <w:rPr>
          <w:rFonts w:ascii="Times New Roman" w:eastAsia="Times New Roman" w:hAnsi="Times New Roman" w:cs="Times New Roman"/>
          <w:sz w:val="24"/>
          <w:szCs w:val="24"/>
          <w:lang w:eastAsia="it-IT"/>
        </w:rPr>
        <w:t>62</w:t>
      </w:r>
      <w:bookmarkEnd w:id="62"/>
      <w:r w:rsidRPr="003E6B9F">
        <w:rPr>
          <w:rFonts w:ascii="Times New Roman" w:eastAsia="Times New Roman" w:hAnsi="Times New Roman" w:cs="Times New Roman"/>
          <w:sz w:val="24"/>
          <w:szCs w:val="24"/>
          <w:lang w:eastAsia="it-IT"/>
        </w:rPr>
        <w:t>      Orbene, se il carattere non effettivo e/o non dissuasivo delle sanzioni previste in materia di IVA può eventualmente procurare un vantaggio finanziario alle imprese interessate, l’applicazione dell’articolo 107 TFUE non può tuttavia assumere rilievo nel caso di specie, dal momento che tutte le transazioni sono soggette al regime di IVA e che qualsiasi reato in materia di IVA è penalmente sanzionato, a prescindere da casi particolari nei quali il regime della prescrizione potrebbe privare determinati reati di conseguenze penali.</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63" w:name="point63"/>
      <w:r w:rsidRPr="003E6B9F">
        <w:rPr>
          <w:rFonts w:ascii="Times New Roman" w:eastAsia="Times New Roman" w:hAnsi="Times New Roman" w:cs="Times New Roman"/>
          <w:sz w:val="24"/>
          <w:szCs w:val="24"/>
          <w:lang w:eastAsia="it-IT"/>
        </w:rPr>
        <w:t>63</w:t>
      </w:r>
      <w:bookmarkEnd w:id="63"/>
      <w:r w:rsidRPr="003E6B9F">
        <w:rPr>
          <w:rFonts w:ascii="Times New Roman" w:eastAsia="Times New Roman" w:hAnsi="Times New Roman" w:cs="Times New Roman"/>
          <w:sz w:val="24"/>
          <w:szCs w:val="24"/>
          <w:lang w:eastAsia="it-IT"/>
        </w:rPr>
        <w:t xml:space="preserve">      In terzo luogo, quanto all’articolo 119 TFUE, tale disposizione menziona, al paragrafo 3, tra i principi direttivi che devono governare le azioni degli Stati membri nell’ambito dell’instaurazione di una politica economica e monetaria, il principio secondo cui gli Stati membri devono </w:t>
      </w:r>
      <w:proofErr w:type="spellStart"/>
      <w:r w:rsidRPr="003E6B9F">
        <w:rPr>
          <w:rFonts w:ascii="Times New Roman" w:eastAsia="Times New Roman" w:hAnsi="Times New Roman" w:cs="Times New Roman"/>
          <w:sz w:val="24"/>
          <w:szCs w:val="24"/>
          <w:lang w:eastAsia="it-IT"/>
        </w:rPr>
        <w:t>vigliare</w:t>
      </w:r>
      <w:proofErr w:type="spellEnd"/>
      <w:r w:rsidRPr="003E6B9F">
        <w:rPr>
          <w:rFonts w:ascii="Times New Roman" w:eastAsia="Times New Roman" w:hAnsi="Times New Roman" w:cs="Times New Roman"/>
          <w:sz w:val="24"/>
          <w:szCs w:val="24"/>
          <w:lang w:eastAsia="it-IT"/>
        </w:rPr>
        <w:t xml:space="preserve"> sul carattere sano delle loro finanze pubbliche.</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64" w:name="point64"/>
      <w:r w:rsidRPr="003E6B9F">
        <w:rPr>
          <w:rFonts w:ascii="Times New Roman" w:eastAsia="Times New Roman" w:hAnsi="Times New Roman" w:cs="Times New Roman"/>
          <w:sz w:val="24"/>
          <w:szCs w:val="24"/>
          <w:lang w:eastAsia="it-IT"/>
        </w:rPr>
        <w:t>64</w:t>
      </w:r>
      <w:bookmarkEnd w:id="64"/>
      <w:r w:rsidRPr="003E6B9F">
        <w:rPr>
          <w:rFonts w:ascii="Times New Roman" w:eastAsia="Times New Roman" w:hAnsi="Times New Roman" w:cs="Times New Roman"/>
          <w:sz w:val="24"/>
          <w:szCs w:val="24"/>
          <w:lang w:eastAsia="it-IT"/>
        </w:rPr>
        <w:t>      Orbene, si deve rilevare che la questione riguardante la conformità al suddetto principio di finanze pubbliche sane delle disposizioni di diritto nazionale di cui trattasi, che possono lasciare impuniti determinati reati in materia di IVA, non rientra nella sfera di applicazione dell’articolo 119 TFUE, dato che il collegamento tra tale questione e il suddetto obbligo gravante sugli Stati membri è molto indiretto.</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65" w:name="point65"/>
      <w:r w:rsidRPr="003E6B9F">
        <w:rPr>
          <w:rFonts w:ascii="Times New Roman" w:eastAsia="Times New Roman" w:hAnsi="Times New Roman" w:cs="Times New Roman"/>
          <w:sz w:val="24"/>
          <w:szCs w:val="24"/>
          <w:lang w:eastAsia="it-IT"/>
        </w:rPr>
        <w:t>65</w:t>
      </w:r>
      <w:bookmarkEnd w:id="65"/>
      <w:r w:rsidRPr="003E6B9F">
        <w:rPr>
          <w:rFonts w:ascii="Times New Roman" w:eastAsia="Times New Roman" w:hAnsi="Times New Roman" w:cs="Times New Roman"/>
          <w:sz w:val="24"/>
          <w:szCs w:val="24"/>
          <w:lang w:eastAsia="it-IT"/>
        </w:rPr>
        <w:t xml:space="preserve">      Alla luce di tali considerazioni, occorre rispondere alla prima, alla seconda e alla quarta questione che un regime della prescrizione applicabile a reati commessi in materia di IVA, come quello previsto dalle disposizioni nazionali di cui trattasi nella loro versione vigente alla </w:t>
      </w:r>
      <w:r w:rsidRPr="003E6B9F">
        <w:rPr>
          <w:rFonts w:ascii="Times New Roman" w:eastAsia="Times New Roman" w:hAnsi="Times New Roman" w:cs="Times New Roman"/>
          <w:sz w:val="24"/>
          <w:szCs w:val="24"/>
          <w:lang w:eastAsia="it-IT"/>
        </w:rPr>
        <w:lastRenderedPageBreak/>
        <w:t>data dei fatti di cui al procedimento principale, non può essere valutato alla luce degli articoli 101 TFUE, 107 TFUE e 119 TFUE.</w:t>
      </w:r>
    </w:p>
    <w:p w:rsidR="003E6B9F" w:rsidRPr="003E6B9F" w:rsidRDefault="003E6B9F" w:rsidP="003E6B9F">
      <w:pPr>
        <w:spacing w:before="480" w:after="240" w:line="240" w:lineRule="auto"/>
        <w:ind w:left="567"/>
        <w:jc w:val="both"/>
        <w:rPr>
          <w:rFonts w:ascii="Times New Roman" w:eastAsia="Times New Roman" w:hAnsi="Times New Roman" w:cs="Times New Roman"/>
          <w:b/>
          <w:bCs/>
          <w:sz w:val="24"/>
          <w:szCs w:val="24"/>
          <w:lang w:eastAsia="it-IT"/>
        </w:rPr>
      </w:pPr>
      <w:r w:rsidRPr="003E6B9F">
        <w:rPr>
          <w:rFonts w:ascii="Times New Roman" w:eastAsia="Times New Roman" w:hAnsi="Times New Roman" w:cs="Times New Roman"/>
          <w:b/>
          <w:bCs/>
          <w:sz w:val="24"/>
          <w:szCs w:val="24"/>
          <w:lang w:eastAsia="it-IT"/>
        </w:rPr>
        <w:t> Sulle spese</w:t>
      </w:r>
    </w:p>
    <w:p w:rsidR="003E6B9F" w:rsidRPr="003E6B9F" w:rsidRDefault="003E6B9F" w:rsidP="003E6B9F">
      <w:pPr>
        <w:spacing w:before="100" w:beforeAutospacing="1" w:after="240" w:line="240" w:lineRule="auto"/>
        <w:ind w:left="567" w:hanging="539"/>
        <w:jc w:val="both"/>
        <w:rPr>
          <w:rFonts w:ascii="Times New Roman" w:eastAsia="Times New Roman" w:hAnsi="Times New Roman" w:cs="Times New Roman"/>
          <w:sz w:val="24"/>
          <w:szCs w:val="24"/>
          <w:lang w:eastAsia="it-IT"/>
        </w:rPr>
      </w:pPr>
      <w:bookmarkStart w:id="66" w:name="point66"/>
      <w:r w:rsidRPr="003E6B9F">
        <w:rPr>
          <w:rFonts w:ascii="Times New Roman" w:eastAsia="Times New Roman" w:hAnsi="Times New Roman" w:cs="Times New Roman"/>
          <w:sz w:val="24"/>
          <w:szCs w:val="24"/>
          <w:lang w:eastAsia="it-IT"/>
        </w:rPr>
        <w:t>66</w:t>
      </w:r>
      <w:bookmarkEnd w:id="66"/>
      <w:r w:rsidRPr="003E6B9F">
        <w:rPr>
          <w:rFonts w:ascii="Times New Roman" w:eastAsia="Times New Roman" w:hAnsi="Times New Roman" w:cs="Times New Roman"/>
          <w:sz w:val="24"/>
          <w:szCs w:val="24"/>
          <w:lang w:eastAsia="it-IT"/>
        </w:rPr>
        <w:t>      Nei confronti delle parti nel procedimento principale la presente causa costituisce un incidente sollevato dinanzi al giudice nazionale, cui spetta quindi statuire sulle spese. Le spese sostenute da altri soggetti per presentare osservazioni alla Corte non possono dar luogo a rifusione.</w:t>
      </w:r>
    </w:p>
    <w:p w:rsidR="003E6B9F" w:rsidRPr="003E6B9F" w:rsidRDefault="003E6B9F" w:rsidP="003E6B9F">
      <w:pPr>
        <w:spacing w:before="480" w:after="24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Per questi motivi, la Corte (Grande Sezione) dichiara:</w:t>
      </w:r>
    </w:p>
    <w:p w:rsidR="003E6B9F" w:rsidRPr="003E6B9F" w:rsidRDefault="003E6B9F" w:rsidP="003E6B9F">
      <w:pPr>
        <w:spacing w:before="100" w:beforeAutospacing="1" w:after="240" w:line="240" w:lineRule="auto"/>
        <w:ind w:left="1134" w:hanging="567"/>
        <w:jc w:val="both"/>
        <w:rPr>
          <w:rFonts w:ascii="Times New Roman" w:eastAsia="Times New Roman" w:hAnsi="Times New Roman" w:cs="Times New Roman"/>
          <w:b/>
          <w:bCs/>
          <w:sz w:val="24"/>
          <w:szCs w:val="24"/>
          <w:lang w:eastAsia="it-IT"/>
        </w:rPr>
      </w:pPr>
      <w:r w:rsidRPr="003E6B9F">
        <w:rPr>
          <w:rFonts w:ascii="Times New Roman" w:eastAsia="Times New Roman" w:hAnsi="Times New Roman" w:cs="Times New Roman"/>
          <w:b/>
          <w:bCs/>
          <w:sz w:val="24"/>
          <w:szCs w:val="24"/>
          <w:lang w:eastAsia="it-IT"/>
        </w:rPr>
        <w:t>1)      Una normativa nazionale in materia di prescrizione del reato come quella stabilita dal combinato disposto dell’articolo 160, ultimo comma, del codice penale, come modificato dalla legge 5 dicembre 2005, n. 251, e dell’articolo 161 di tale codice – normativa che prevedeva, all’epoca dei fatti di cui al procedimento principale, che l’atto interruttivo verificatosi nell’ambito di procedimenti penali riguardanti frodi gravi in materia di imposta sul valore aggiunto comportasse il prolungamento del termine di prescrizione di solo un quarto della sua durata iniziale – è idonea a pregiudicare gli obblighi imposti agli Stati membri dall’articolo 325, paragrafi 1 e 2, TFUE nell’ipotesi in cui detta normativa nazionale impedisca di infliggere sanzioni effettive e dissuasive in un numero considerevole di casi di frode grave che ledono gli interessi finanziari dell’Unione europea, o in cui preveda, per i casi di frode che ledono gli interessi finanziari dello Stato membro interessato, termini di prescrizione più lunghi di quelli previsti per i casi di frode che ledono gli interessi finanziari dell’Unione europea, circostanze che spetta al giudice nazionale verificare. Il giudice nazionale è tenuto a dare piena efficacia all’articolo 325, paragrafi 1 e 2, TFUE disapplicando, all’occorrenza, le disposizioni nazionali che abbiano per effetto di impedire allo Stato membro interessato di rispettare gli obblighi impostigli dall’articolo 325, paragrafi 1 e 2, TFUE.</w:t>
      </w:r>
    </w:p>
    <w:p w:rsidR="003E6B9F" w:rsidRPr="003E6B9F" w:rsidRDefault="003E6B9F" w:rsidP="003E6B9F">
      <w:pPr>
        <w:spacing w:before="100" w:beforeAutospacing="1" w:after="240" w:line="240" w:lineRule="auto"/>
        <w:ind w:left="1134" w:hanging="567"/>
        <w:jc w:val="both"/>
        <w:rPr>
          <w:rFonts w:ascii="Times New Roman" w:eastAsia="Times New Roman" w:hAnsi="Times New Roman" w:cs="Times New Roman"/>
          <w:b/>
          <w:bCs/>
          <w:sz w:val="24"/>
          <w:szCs w:val="24"/>
          <w:lang w:eastAsia="it-IT"/>
        </w:rPr>
      </w:pPr>
      <w:r w:rsidRPr="003E6B9F">
        <w:rPr>
          <w:rFonts w:ascii="Times New Roman" w:eastAsia="Times New Roman" w:hAnsi="Times New Roman" w:cs="Times New Roman"/>
          <w:b/>
          <w:bCs/>
          <w:sz w:val="24"/>
          <w:szCs w:val="24"/>
          <w:lang w:eastAsia="it-IT"/>
        </w:rPr>
        <w:t xml:space="preserve">2)      Un regime della prescrizione applicabile a reati commessi in materia di imposta sul valore aggiunto, come quello previsto dal combinato disposto dell’articolo 160, ultimo comma, del codice penale, come modificato dalla legge 5 dicembre 2005, n. 251, e dell’articolo 161 di tale codice, non può essere valutato alla luce degli articoli 101 TFUE, 107 TFUE e 119 TFUE. </w:t>
      </w:r>
    </w:p>
    <w:p w:rsidR="003E6B9F" w:rsidRPr="003E6B9F" w:rsidRDefault="003E6B9F" w:rsidP="003E6B9F">
      <w:pPr>
        <w:spacing w:after="1200" w:line="240" w:lineRule="auto"/>
        <w:ind w:left="567"/>
        <w:jc w:val="both"/>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t>Firme</w:t>
      </w:r>
    </w:p>
    <w:p w:rsidR="003E6B9F" w:rsidRPr="003E6B9F" w:rsidRDefault="003E6B9F" w:rsidP="003E6B9F">
      <w:pPr>
        <w:spacing w:after="0" w:line="240" w:lineRule="auto"/>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pict>
          <v:rect id="_x0000_i1025" style="width:0;height:1.5pt" o:hralign="center" o:hrstd="t" o:hr="t" fillcolor="#a0a0a0" stroked="f"/>
        </w:pict>
      </w:r>
    </w:p>
    <w:bookmarkStart w:id="67" w:name="Footnote*"/>
    <w:p w:rsidR="003E6B9F" w:rsidRPr="003E6B9F" w:rsidRDefault="003E6B9F" w:rsidP="003E6B9F">
      <w:pPr>
        <w:spacing w:after="0" w:line="240" w:lineRule="auto"/>
        <w:ind w:left="567"/>
        <w:rPr>
          <w:rFonts w:ascii="Times New Roman" w:eastAsia="Times New Roman" w:hAnsi="Times New Roman" w:cs="Times New Roman"/>
          <w:sz w:val="15"/>
          <w:szCs w:val="15"/>
          <w:lang w:eastAsia="it-IT"/>
        </w:rPr>
      </w:pPr>
      <w:r w:rsidRPr="003E6B9F">
        <w:rPr>
          <w:rFonts w:ascii="Times New Roman" w:eastAsia="Times New Roman" w:hAnsi="Times New Roman" w:cs="Times New Roman"/>
          <w:sz w:val="15"/>
          <w:szCs w:val="15"/>
          <w:lang w:eastAsia="it-IT"/>
        </w:rPr>
        <w:fldChar w:fldCharType="begin"/>
      </w:r>
      <w:r w:rsidRPr="003E6B9F">
        <w:rPr>
          <w:rFonts w:ascii="Times New Roman" w:eastAsia="Times New Roman" w:hAnsi="Times New Roman" w:cs="Times New Roman"/>
          <w:sz w:val="15"/>
          <w:szCs w:val="15"/>
          <w:lang w:eastAsia="it-IT"/>
        </w:rPr>
        <w:instrText xml:space="preserve"> HYPERLINK "http://curia.europa.eu/juris/document/document_print.jsf;jsessionid=9ea7d0f130d600fcb6480c4c4c4ab23d8f653106c56d.e34KaxiLc3eQc40LaxqMbN4PahmLe0?doclang=IT&amp;text=&amp;pageIndex=0&amp;part=1&amp;mode=DOC&amp;docid=167061&amp;occ=first&amp;dir=&amp;cid=1021248" \l "Footref*" </w:instrText>
      </w:r>
      <w:r w:rsidRPr="003E6B9F">
        <w:rPr>
          <w:rFonts w:ascii="Times New Roman" w:eastAsia="Times New Roman" w:hAnsi="Times New Roman" w:cs="Times New Roman"/>
          <w:sz w:val="15"/>
          <w:szCs w:val="15"/>
          <w:lang w:eastAsia="it-IT"/>
        </w:rPr>
        <w:fldChar w:fldCharType="separate"/>
      </w:r>
      <w:r w:rsidRPr="003E6B9F">
        <w:rPr>
          <w:rFonts w:ascii="Times New Roman" w:eastAsia="Times New Roman" w:hAnsi="Times New Roman" w:cs="Times New Roman"/>
          <w:color w:val="0000FF"/>
          <w:sz w:val="15"/>
          <w:szCs w:val="15"/>
          <w:u w:val="single"/>
          <w:lang w:eastAsia="it-IT"/>
        </w:rPr>
        <w:t>*</w:t>
      </w:r>
      <w:r w:rsidRPr="003E6B9F">
        <w:rPr>
          <w:rFonts w:ascii="Times New Roman" w:eastAsia="Times New Roman" w:hAnsi="Times New Roman" w:cs="Times New Roman"/>
          <w:sz w:val="15"/>
          <w:szCs w:val="15"/>
          <w:lang w:eastAsia="it-IT"/>
        </w:rPr>
        <w:fldChar w:fldCharType="end"/>
      </w:r>
      <w:bookmarkEnd w:id="67"/>
      <w:r w:rsidRPr="003E6B9F">
        <w:rPr>
          <w:rFonts w:ascii="Times New Roman" w:eastAsia="Times New Roman" w:hAnsi="Times New Roman" w:cs="Times New Roman"/>
          <w:sz w:val="15"/>
          <w:szCs w:val="15"/>
          <w:lang w:eastAsia="it-IT"/>
        </w:rPr>
        <w:t xml:space="preserve"> Lingua processuale: l’italiano.</w:t>
      </w:r>
    </w:p>
    <w:p w:rsidR="003E6B9F" w:rsidRPr="003E6B9F" w:rsidRDefault="003E6B9F" w:rsidP="003E6B9F">
      <w:pPr>
        <w:spacing w:after="0" w:line="240" w:lineRule="auto"/>
        <w:rPr>
          <w:rFonts w:ascii="Times New Roman" w:eastAsia="Times New Roman" w:hAnsi="Times New Roman" w:cs="Times New Roman"/>
          <w:sz w:val="24"/>
          <w:szCs w:val="24"/>
          <w:lang w:eastAsia="it-IT"/>
        </w:rPr>
      </w:pPr>
      <w:r w:rsidRPr="003E6B9F">
        <w:rPr>
          <w:rFonts w:ascii="Times New Roman" w:eastAsia="Times New Roman" w:hAnsi="Times New Roman" w:cs="Times New Roman"/>
          <w:sz w:val="24"/>
          <w:szCs w:val="24"/>
          <w:lang w:eastAsia="it-IT"/>
        </w:rPr>
        <w:object w:dxaOrig="1440" w:dyaOrig="1440">
          <v:shape id="_x0000_i1031" type="#_x0000_t75" style="width:1in;height:17.9pt" o:ole="">
            <v:imagedata r:id="rId6" o:title=""/>
          </v:shape>
          <w:control r:id="rId7" w:name="DefaultOcxName1" w:shapeid="_x0000_i1031"/>
        </w:object>
      </w:r>
    </w:p>
    <w:p w:rsidR="003E6B9F" w:rsidRPr="003E6B9F" w:rsidRDefault="003E6B9F" w:rsidP="003E6B9F">
      <w:pPr>
        <w:pBdr>
          <w:top w:val="single" w:sz="6" w:space="1" w:color="auto"/>
        </w:pBdr>
        <w:spacing w:after="0" w:line="240" w:lineRule="auto"/>
        <w:jc w:val="center"/>
        <w:rPr>
          <w:rFonts w:ascii="Arial" w:eastAsia="Times New Roman" w:hAnsi="Arial" w:cs="Arial"/>
          <w:vanish/>
          <w:sz w:val="16"/>
          <w:szCs w:val="16"/>
          <w:lang w:eastAsia="it-IT"/>
        </w:rPr>
      </w:pPr>
      <w:r w:rsidRPr="003E6B9F">
        <w:rPr>
          <w:rFonts w:ascii="Arial" w:eastAsia="Times New Roman" w:hAnsi="Arial" w:cs="Arial"/>
          <w:vanish/>
          <w:sz w:val="16"/>
          <w:szCs w:val="16"/>
          <w:lang w:eastAsia="it-IT"/>
        </w:rPr>
        <w:t>Fine modulo</w:t>
      </w:r>
    </w:p>
    <w:p w:rsidR="00E53942" w:rsidRDefault="00E53942"/>
    <w:sectPr w:rsidR="00E53942" w:rsidSect="00E5394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defaultTabStop w:val="708"/>
  <w:hyphenationZone w:val="283"/>
  <w:characterSpacingControl w:val="doNotCompress"/>
  <w:compat/>
  <w:rsids>
    <w:rsidRoot w:val="003E6B9F"/>
    <w:rsid w:val="003E6B9F"/>
    <w:rsid w:val="00E5394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5394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3E6B9F"/>
    <w:rPr>
      <w:color w:val="0000FF"/>
      <w:u w:val="single"/>
    </w:rPr>
  </w:style>
  <w:style w:type="paragraph" w:customStyle="1" w:styleId="c01pointnumerotealtn">
    <w:name w:val="c01pointnumerotealtn"/>
    <w:basedOn w:val="Normale"/>
    <w:rsid w:val="003E6B9F"/>
    <w:pPr>
      <w:spacing w:before="100" w:beforeAutospacing="1" w:after="240" w:line="240" w:lineRule="auto"/>
      <w:ind w:left="567" w:hanging="539"/>
      <w:jc w:val="both"/>
    </w:pPr>
    <w:rPr>
      <w:rFonts w:ascii="Times New Roman" w:eastAsia="Times New Roman" w:hAnsi="Times New Roman" w:cs="Times New Roman"/>
      <w:sz w:val="24"/>
      <w:szCs w:val="24"/>
      <w:lang w:eastAsia="it-IT"/>
    </w:rPr>
  </w:style>
  <w:style w:type="paragraph" w:customStyle="1" w:styleId="c02alineaalta">
    <w:name w:val="c02alineaalta"/>
    <w:basedOn w:val="Normale"/>
    <w:rsid w:val="003E6B9F"/>
    <w:pPr>
      <w:spacing w:after="240" w:line="240" w:lineRule="auto"/>
      <w:ind w:left="567"/>
      <w:jc w:val="both"/>
    </w:pPr>
    <w:rPr>
      <w:rFonts w:ascii="Times New Roman" w:eastAsia="Times New Roman" w:hAnsi="Times New Roman" w:cs="Times New Roman"/>
      <w:sz w:val="24"/>
      <w:szCs w:val="24"/>
      <w:lang w:eastAsia="it-IT"/>
    </w:rPr>
  </w:style>
  <w:style w:type="paragraph" w:customStyle="1" w:styleId="c03tiretlong">
    <w:name w:val="c03tiretlong"/>
    <w:basedOn w:val="Normale"/>
    <w:rsid w:val="003E6B9F"/>
    <w:pPr>
      <w:spacing w:before="100" w:beforeAutospacing="1" w:after="240" w:line="240" w:lineRule="auto"/>
      <w:ind w:left="1134" w:hanging="567"/>
      <w:jc w:val="both"/>
    </w:pPr>
    <w:rPr>
      <w:rFonts w:ascii="Times New Roman" w:eastAsia="Times New Roman" w:hAnsi="Times New Roman" w:cs="Times New Roman"/>
      <w:sz w:val="24"/>
      <w:szCs w:val="24"/>
      <w:lang w:eastAsia="it-IT"/>
    </w:rPr>
  </w:style>
  <w:style w:type="paragraph" w:customStyle="1" w:styleId="c12marge1avectiretlong">
    <w:name w:val="c12marge1avectiretlong"/>
    <w:basedOn w:val="Normale"/>
    <w:rsid w:val="003E6B9F"/>
    <w:pPr>
      <w:spacing w:before="100" w:beforeAutospacing="1" w:after="240" w:line="240" w:lineRule="auto"/>
      <w:ind w:left="1701" w:hanging="567"/>
      <w:jc w:val="both"/>
    </w:pPr>
    <w:rPr>
      <w:rFonts w:ascii="Times New Roman" w:eastAsia="Times New Roman" w:hAnsi="Times New Roman" w:cs="Times New Roman"/>
      <w:sz w:val="24"/>
      <w:szCs w:val="24"/>
      <w:lang w:eastAsia="it-IT"/>
    </w:rPr>
  </w:style>
  <w:style w:type="paragraph" w:customStyle="1" w:styleId="c04titre1">
    <w:name w:val="c04titre1"/>
    <w:basedOn w:val="Normale"/>
    <w:rsid w:val="003E6B9F"/>
    <w:pPr>
      <w:spacing w:before="480" w:after="240" w:line="240" w:lineRule="auto"/>
      <w:ind w:left="567"/>
      <w:jc w:val="both"/>
    </w:pPr>
    <w:rPr>
      <w:rFonts w:ascii="Times New Roman" w:eastAsia="Times New Roman" w:hAnsi="Times New Roman" w:cs="Times New Roman"/>
      <w:b/>
      <w:bCs/>
      <w:sz w:val="24"/>
      <w:szCs w:val="24"/>
      <w:lang w:eastAsia="it-IT"/>
    </w:rPr>
  </w:style>
  <w:style w:type="paragraph" w:customStyle="1" w:styleId="c05titre2">
    <w:name w:val="c05titre2"/>
    <w:basedOn w:val="Normale"/>
    <w:rsid w:val="003E6B9F"/>
    <w:pPr>
      <w:spacing w:after="240" w:line="240" w:lineRule="auto"/>
      <w:ind w:left="567"/>
      <w:jc w:val="both"/>
    </w:pPr>
    <w:rPr>
      <w:rFonts w:ascii="Times New Roman" w:eastAsia="Times New Roman" w:hAnsi="Times New Roman" w:cs="Times New Roman"/>
      <w:i/>
      <w:iCs/>
      <w:sz w:val="24"/>
      <w:szCs w:val="24"/>
      <w:lang w:eastAsia="it-IT"/>
    </w:rPr>
  </w:style>
  <w:style w:type="paragraph" w:customStyle="1" w:styleId="c06titre3">
    <w:name w:val="c06titre3"/>
    <w:basedOn w:val="Normale"/>
    <w:rsid w:val="003E6B9F"/>
    <w:pPr>
      <w:spacing w:after="240" w:line="240" w:lineRule="auto"/>
      <w:ind w:left="567"/>
      <w:jc w:val="both"/>
    </w:pPr>
    <w:rPr>
      <w:rFonts w:ascii="Times New Roman" w:eastAsia="Times New Roman" w:hAnsi="Times New Roman" w:cs="Times New Roman"/>
      <w:sz w:val="24"/>
      <w:szCs w:val="24"/>
      <w:lang w:eastAsia="it-IT"/>
    </w:rPr>
  </w:style>
  <w:style w:type="paragraph" w:customStyle="1" w:styleId="c08dispositif">
    <w:name w:val="c08dispositif"/>
    <w:basedOn w:val="Normale"/>
    <w:rsid w:val="003E6B9F"/>
    <w:pPr>
      <w:spacing w:before="100" w:beforeAutospacing="1" w:after="240" w:line="240" w:lineRule="auto"/>
      <w:ind w:left="1134" w:hanging="567"/>
      <w:jc w:val="both"/>
    </w:pPr>
    <w:rPr>
      <w:rFonts w:ascii="Times New Roman" w:eastAsia="Times New Roman" w:hAnsi="Times New Roman" w:cs="Times New Roman"/>
      <w:b/>
      <w:bCs/>
      <w:sz w:val="24"/>
      <w:szCs w:val="24"/>
      <w:lang w:eastAsia="it-IT"/>
    </w:rPr>
  </w:style>
  <w:style w:type="paragraph" w:customStyle="1" w:styleId="c19centre">
    <w:name w:val="c19centre"/>
    <w:basedOn w:val="Normale"/>
    <w:rsid w:val="003E6B9F"/>
    <w:pPr>
      <w:spacing w:after="240" w:line="240" w:lineRule="auto"/>
      <w:ind w:left="567"/>
      <w:jc w:val="center"/>
    </w:pPr>
    <w:rPr>
      <w:rFonts w:ascii="Times New Roman" w:eastAsia="Times New Roman" w:hAnsi="Times New Roman" w:cs="Times New Roman"/>
      <w:sz w:val="24"/>
      <w:szCs w:val="24"/>
      <w:lang w:eastAsia="it-IT"/>
    </w:rPr>
  </w:style>
  <w:style w:type="paragraph" w:customStyle="1" w:styleId="c09marge0avecretrait">
    <w:name w:val="c09marge0avecretrait"/>
    <w:basedOn w:val="Normale"/>
    <w:rsid w:val="003E6B9F"/>
    <w:pPr>
      <w:spacing w:after="240" w:line="240" w:lineRule="auto"/>
      <w:ind w:left="1134" w:hanging="567"/>
      <w:jc w:val="both"/>
    </w:pPr>
    <w:rPr>
      <w:rFonts w:ascii="Times New Roman" w:eastAsia="Times New Roman" w:hAnsi="Times New Roman" w:cs="Times New Roman"/>
      <w:sz w:val="24"/>
      <w:szCs w:val="24"/>
      <w:lang w:eastAsia="it-IT"/>
    </w:rPr>
  </w:style>
  <w:style w:type="paragraph" w:customStyle="1" w:styleId="c75debutdesmotifs">
    <w:name w:val="c75debutdesmotifs"/>
    <w:basedOn w:val="Normale"/>
    <w:rsid w:val="003E6B9F"/>
    <w:pPr>
      <w:spacing w:before="480" w:after="480" w:line="240" w:lineRule="auto"/>
      <w:ind w:left="567"/>
      <w:jc w:val="center"/>
    </w:pPr>
    <w:rPr>
      <w:rFonts w:ascii="Times New Roman" w:eastAsia="Times New Roman" w:hAnsi="Times New Roman" w:cs="Times New Roman"/>
      <w:b/>
      <w:bCs/>
      <w:sz w:val="24"/>
      <w:szCs w:val="24"/>
      <w:lang w:eastAsia="it-IT"/>
    </w:rPr>
  </w:style>
  <w:style w:type="paragraph" w:customStyle="1" w:styleId="c77signatures">
    <w:name w:val="c77signatures"/>
    <w:basedOn w:val="Normale"/>
    <w:rsid w:val="003E6B9F"/>
    <w:pPr>
      <w:spacing w:after="1200" w:line="240" w:lineRule="auto"/>
      <w:ind w:left="567"/>
      <w:jc w:val="both"/>
    </w:pPr>
    <w:rPr>
      <w:rFonts w:ascii="Times New Roman" w:eastAsia="Times New Roman" w:hAnsi="Times New Roman" w:cs="Times New Roman"/>
      <w:sz w:val="24"/>
      <w:szCs w:val="24"/>
      <w:lang w:eastAsia="it-IT"/>
    </w:rPr>
  </w:style>
  <w:style w:type="paragraph" w:customStyle="1" w:styleId="c71indicateur">
    <w:name w:val="c71indicateur"/>
    <w:basedOn w:val="Normale"/>
    <w:rsid w:val="003E6B9F"/>
    <w:pPr>
      <w:spacing w:before="600" w:after="560" w:line="240" w:lineRule="auto"/>
      <w:ind w:left="567"/>
      <w:jc w:val="center"/>
    </w:pPr>
    <w:rPr>
      <w:rFonts w:ascii="Times New Roman" w:eastAsia="Times New Roman" w:hAnsi="Times New Roman" w:cs="Times New Roman"/>
      <w:sz w:val="24"/>
      <w:szCs w:val="24"/>
      <w:lang w:eastAsia="it-IT"/>
    </w:rPr>
  </w:style>
  <w:style w:type="paragraph" w:styleId="Iniziomodulo-z">
    <w:name w:val="HTML Top of Form"/>
    <w:basedOn w:val="Normale"/>
    <w:next w:val="Normale"/>
    <w:link w:val="Iniziomodulo-zCarattere"/>
    <w:hidden/>
    <w:uiPriority w:val="99"/>
    <w:semiHidden/>
    <w:unhideWhenUsed/>
    <w:rsid w:val="003E6B9F"/>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3E6B9F"/>
    <w:rPr>
      <w:rFonts w:ascii="Arial" w:eastAsia="Times New Roman" w:hAnsi="Arial" w:cs="Arial"/>
      <w:vanish/>
      <w:sz w:val="16"/>
      <w:szCs w:val="16"/>
      <w:lang w:eastAsia="it-IT"/>
    </w:rPr>
  </w:style>
  <w:style w:type="paragraph" w:customStyle="1" w:styleId="c41dispositifintroduction">
    <w:name w:val="c41dispositifintroduction"/>
    <w:basedOn w:val="Normale"/>
    <w:rsid w:val="003E6B9F"/>
    <w:pPr>
      <w:spacing w:before="480" w:after="240" w:line="240" w:lineRule="auto"/>
      <w:ind w:left="567"/>
      <w:jc w:val="both"/>
    </w:pPr>
    <w:rPr>
      <w:rFonts w:ascii="Times New Roman" w:eastAsia="Times New Roman" w:hAnsi="Times New Roman" w:cs="Times New Roman"/>
      <w:sz w:val="24"/>
      <w:szCs w:val="24"/>
      <w:lang w:eastAsia="it-IT"/>
    </w:rPr>
  </w:style>
  <w:style w:type="paragraph" w:customStyle="1" w:styleId="c42footnotelangue">
    <w:name w:val="c42footnotelangue"/>
    <w:basedOn w:val="Normale"/>
    <w:rsid w:val="003E6B9F"/>
    <w:pPr>
      <w:spacing w:after="0" w:line="240" w:lineRule="auto"/>
      <w:ind w:left="567"/>
    </w:pPr>
    <w:rPr>
      <w:rFonts w:ascii="Times New Roman" w:eastAsia="Times New Roman" w:hAnsi="Times New Roman" w:cs="Times New Roman"/>
      <w:sz w:val="15"/>
      <w:szCs w:val="15"/>
      <w:lang w:eastAsia="it-IT"/>
    </w:rPr>
  </w:style>
  <w:style w:type="paragraph" w:styleId="Finemodulo-z">
    <w:name w:val="HTML Bottom of Form"/>
    <w:basedOn w:val="Normale"/>
    <w:next w:val="Normale"/>
    <w:link w:val="Finemodulo-zCarattere"/>
    <w:hidden/>
    <w:uiPriority w:val="99"/>
    <w:semiHidden/>
    <w:unhideWhenUsed/>
    <w:rsid w:val="003E6B9F"/>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3E6B9F"/>
    <w:rPr>
      <w:rFonts w:ascii="Arial" w:eastAsia="Times New Roman" w:hAnsi="Arial" w:cs="Arial"/>
      <w:vanish/>
      <w:sz w:val="16"/>
      <w:szCs w:val="16"/>
      <w:lang w:eastAsia="it-IT"/>
    </w:rPr>
  </w:style>
</w:styles>
</file>

<file path=word/webSettings.xml><?xml version="1.0" encoding="utf-8"?>
<w:webSettings xmlns:r="http://schemas.openxmlformats.org/officeDocument/2006/relationships" xmlns:w="http://schemas.openxmlformats.org/wordprocessingml/2006/main">
  <w:divs>
    <w:div w:id="1509253151">
      <w:bodyDiv w:val="1"/>
      <w:marLeft w:val="0"/>
      <w:marRight w:val="0"/>
      <w:marTop w:val="0"/>
      <w:marBottom w:val="0"/>
      <w:divBdr>
        <w:top w:val="none" w:sz="0" w:space="0" w:color="auto"/>
        <w:left w:val="none" w:sz="0" w:space="0" w:color="auto"/>
        <w:bottom w:val="none" w:sz="0" w:space="0" w:color="auto"/>
        <w:right w:val="none" w:sz="0" w:space="0" w:color="auto"/>
      </w:divBdr>
      <w:divsChild>
        <w:div w:id="1083836322">
          <w:marLeft w:val="0"/>
          <w:marRight w:val="0"/>
          <w:marTop w:val="0"/>
          <w:marBottom w:val="0"/>
          <w:divBdr>
            <w:top w:val="none" w:sz="0" w:space="0" w:color="auto"/>
            <w:left w:val="none" w:sz="0" w:space="0" w:color="auto"/>
            <w:bottom w:val="none" w:sz="0" w:space="0" w:color="auto"/>
            <w:right w:val="none" w:sz="0" w:space="0" w:color="auto"/>
          </w:divBdr>
          <w:divsChild>
            <w:div w:id="71650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control" Target="activeX/activeX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control" Target="activeX/activeX1.xml"/><Relationship Id="rId4" Type="http://schemas.openxmlformats.org/officeDocument/2006/relationships/image" Target="media/image1.wmf"/><Relationship Id="rId9"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6758</Words>
  <Characters>38525</Characters>
  <Application>Microsoft Office Word</Application>
  <DocSecurity>0</DocSecurity>
  <Lines>321</Lines>
  <Paragraphs>90</Paragraphs>
  <ScaleCrop>false</ScaleCrop>
  <Company/>
  <LinksUpToDate>false</LinksUpToDate>
  <CharactersWithSpaces>45193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dc:creator>
  <cp:keywords/>
  <dc:description/>
  <cp:lastModifiedBy>Luigi</cp:lastModifiedBy>
  <cp:revision>2</cp:revision>
  <dcterms:created xsi:type="dcterms:W3CDTF">2017-02-16T09:30:00Z</dcterms:created>
  <dcterms:modified xsi:type="dcterms:W3CDTF">2017-02-16T09:31:00Z</dcterms:modified>
</cp:coreProperties>
</file>