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9D5B" w14:textId="77777777" w:rsidR="008E07A8" w:rsidRPr="008E07A8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Calibri"/>
          <w:bCs/>
          <w:sz w:val="22"/>
          <w:szCs w:val="22"/>
          <w:lang w:eastAsia="ar-SA"/>
        </w:rPr>
      </w:pPr>
    </w:p>
    <w:p w14:paraId="410B8287" w14:textId="77777777" w:rsidR="008E07A8" w:rsidRPr="008E07A8" w:rsidRDefault="008E07A8" w:rsidP="008E07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suppressAutoHyphens/>
        <w:rPr>
          <w:rFonts w:ascii="Titillium Web" w:eastAsia="Times New Roman" w:hAnsi="Titillium Web" w:cs="Times New Roman"/>
          <w:b/>
          <w:bCs/>
          <w:iCs/>
          <w:sz w:val="32"/>
          <w:szCs w:val="32"/>
          <w:lang w:eastAsia="ar-SA"/>
        </w:rPr>
      </w:pPr>
      <w:r w:rsidRPr="008E07A8">
        <w:rPr>
          <w:rFonts w:ascii="Titillium Web" w:eastAsia="Times New Roman" w:hAnsi="Titillium Web" w:cs="Times New Roman"/>
          <w:b/>
          <w:bCs/>
          <w:iCs/>
          <w:lang w:eastAsia="ar-SA"/>
        </w:rPr>
        <w:tab/>
      </w:r>
      <w:r w:rsidRPr="008E07A8">
        <w:rPr>
          <w:rFonts w:ascii="Titillium Web" w:eastAsia="Times New Roman" w:hAnsi="Titillium Web" w:cs="Times New Roman"/>
          <w:b/>
          <w:bCs/>
          <w:iCs/>
          <w:sz w:val="32"/>
          <w:szCs w:val="32"/>
          <w:lang w:eastAsia="ar-SA"/>
        </w:rPr>
        <w:t>ATTO DI IMPEGNO</w:t>
      </w:r>
    </w:p>
    <w:p w14:paraId="719B570C" w14:textId="2D93D864" w:rsidR="008E07A8" w:rsidRPr="008E07A8" w:rsidRDefault="008E07A8" w:rsidP="008E07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suppressAutoHyphens/>
        <w:jc w:val="center"/>
        <w:rPr>
          <w:rFonts w:ascii="Titillium Web" w:eastAsia="Times New Roman" w:hAnsi="Titillium Web" w:cs="Times New Roman"/>
          <w:b/>
          <w:bCs/>
          <w:iCs/>
          <w:sz w:val="32"/>
          <w:szCs w:val="32"/>
          <w:lang w:eastAsia="ar-SA"/>
        </w:rPr>
      </w:pPr>
      <w:r w:rsidRPr="002C4143">
        <w:rPr>
          <w:rFonts w:ascii="Titillium Web" w:eastAsia="Times New Roman" w:hAnsi="Titillium Web" w:cs="Times New Roman"/>
          <w:b/>
          <w:bCs/>
          <w:lang w:eastAsia="ar-SA"/>
        </w:rPr>
        <w:t>Fornitura e</w:t>
      </w:r>
      <w:r w:rsidR="002C4143" w:rsidRPr="002C4143">
        <w:rPr>
          <w:rFonts w:ascii="Titillium Web" w:eastAsia="Times New Roman" w:hAnsi="Titillium Web" w:cs="Times New Roman"/>
          <w:b/>
          <w:bCs/>
          <w:lang w:eastAsia="ar-SA"/>
        </w:rPr>
        <w:t xml:space="preserve"> </w:t>
      </w:r>
      <w:r w:rsidRPr="002C4143">
        <w:rPr>
          <w:rFonts w:ascii="Titillium Web" w:eastAsia="Times New Roman" w:hAnsi="Titillium Web" w:cs="Times New Roman"/>
          <w:b/>
          <w:bCs/>
          <w:lang w:eastAsia="ar-SA"/>
        </w:rPr>
        <w:t xml:space="preserve">di un </w:t>
      </w:r>
      <w:r w:rsidR="002C4143" w:rsidRPr="002C4143">
        <w:rPr>
          <w:rFonts w:ascii="Titillium Web" w:eastAsia="Times New Roman" w:hAnsi="Titillium Web" w:cs="Times New Roman"/>
          <w:b/>
          <w:bCs/>
          <w:lang w:eastAsia="ar-SA"/>
        </w:rPr>
        <w:t>Sistema di fermentazione di gas in pressione</w:t>
      </w:r>
    </w:p>
    <w:p w14:paraId="6F6757AD" w14:textId="77777777" w:rsidR="008E07A8" w:rsidRPr="008E07A8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lang w:eastAsia="ar-SA"/>
        </w:rPr>
      </w:pPr>
    </w:p>
    <w:p w14:paraId="679D5C0F" w14:textId="1D08EF49" w:rsidR="008E07A8" w:rsidRPr="00E36909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  <w:r w:rsidRPr="008E07A8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Il sottoscritto _______________________________________, </w:t>
      </w: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>Codice Fiscal</w:t>
      </w:r>
      <w:r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>e ________________________, in rappresentanza dell’operatore economico (denominazione e forma giuridica)________________________________________________________________________________________________</w:t>
      </w:r>
      <w:r w:rsidR="00E36909"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>__________________________________________</w:t>
      </w:r>
      <w:r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 partecipante (di seguito “Concorrente”) alla</w:t>
      </w:r>
      <w:r w:rsidRPr="00E36909">
        <w:rPr>
          <w:rFonts w:ascii="Titillium Web" w:eastAsia="Times New Roman" w:hAnsi="Titillium Web" w:cs="Times New Roman"/>
          <w:sz w:val="22"/>
          <w:szCs w:val="22"/>
          <w:lang w:eastAsia="ar-SA"/>
        </w:rPr>
        <w:t xml:space="preserve"> </w:t>
      </w:r>
      <w:r w:rsidR="000A3915" w:rsidRPr="00E36909">
        <w:rPr>
          <w:rFonts w:ascii="Titillium Web" w:eastAsia="Times New Roman" w:hAnsi="Titillium Web" w:cs="Times New Roman"/>
          <w:sz w:val="22"/>
          <w:szCs w:val="22"/>
          <w:lang w:eastAsia="ar-SA"/>
        </w:rPr>
        <w:t xml:space="preserve">indagine di mercato ex art. 50 </w:t>
      </w:r>
      <w:r w:rsidR="006D3D16" w:rsidRPr="00E36909">
        <w:rPr>
          <w:rFonts w:ascii="Titillium Web" w:eastAsia="Times New Roman" w:hAnsi="Titillium Web" w:cs="Times New Roman"/>
          <w:sz w:val="22"/>
          <w:szCs w:val="22"/>
          <w:lang w:eastAsia="ar-SA"/>
        </w:rPr>
        <w:t xml:space="preserve">comma 1 lett. e) del D. Lgs. </w:t>
      </w:r>
      <w:r w:rsidR="0048578F">
        <w:rPr>
          <w:rFonts w:ascii="Titillium Web" w:eastAsia="Times New Roman" w:hAnsi="Titillium Web" w:cs="Times New Roman"/>
          <w:sz w:val="22"/>
          <w:szCs w:val="22"/>
          <w:lang w:eastAsia="ar-SA"/>
        </w:rPr>
        <w:t xml:space="preserve">n. </w:t>
      </w:r>
      <w:r w:rsidR="006D3D16" w:rsidRPr="00E36909">
        <w:rPr>
          <w:rFonts w:ascii="Titillium Web" w:eastAsia="Times New Roman" w:hAnsi="Titillium Web" w:cs="Times New Roman"/>
          <w:sz w:val="22"/>
          <w:szCs w:val="22"/>
          <w:lang w:eastAsia="ar-SA"/>
        </w:rPr>
        <w:t>36/2023</w:t>
      </w:r>
      <w:r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, per l’intervento relativo alla </w:t>
      </w:r>
      <w:r w:rsidR="00B22815"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“Fornitura di un Sistema di fermentazione di gas in pressione” per il Dipartimento di Ingegneria Chimica dei Materiali e della Produzione Industriale dell’Università degli Studi di Napoli Federico II – CUP UNINA: E63C22000920005, </w:t>
      </w:r>
      <w:r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considerato che il Progetto prevede l’acquisto di un sistema </w:t>
      </w:r>
      <w:r w:rsidR="009A5FCE"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di </w:t>
      </w:r>
      <w:proofErr w:type="spellStart"/>
      <w:r w:rsidR="009A5FCE"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>bioconversione</w:t>
      </w:r>
      <w:proofErr w:type="spellEnd"/>
      <w:r w:rsidR="009A5FCE"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 in scala da laboratorio per applicazioni ad alta pressione (almeno fino a 10 bar), che deve includere un sistema di controllo gestito da software in grado di integrare tutti i componenti per una gestione ottimale dei processi di </w:t>
      </w:r>
      <w:proofErr w:type="spellStart"/>
      <w:r w:rsidR="009A5FCE"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>bioconversione</w:t>
      </w:r>
      <w:proofErr w:type="spellEnd"/>
      <w:r w:rsidR="00910044"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 </w:t>
      </w:r>
      <w:r w:rsidRPr="00E36909">
        <w:rPr>
          <w:rFonts w:ascii="Titillium Web" w:eastAsia="Times New Roman" w:hAnsi="Titillium Web" w:cs="Tahoma"/>
          <w:sz w:val="22"/>
          <w:szCs w:val="22"/>
          <w:lang w:eastAsia="ar-SA"/>
        </w:rPr>
        <w:t>per svolgere in maniera adeguata e all’avanguardia la ricerca scientifica oggetto del Progetto</w:t>
      </w:r>
    </w:p>
    <w:p w14:paraId="1AE1A031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</w:p>
    <w:p w14:paraId="5CCB2B20" w14:textId="77777777" w:rsidR="008E07A8" w:rsidRPr="00E96134" w:rsidRDefault="008E07A8" w:rsidP="008E07A8">
      <w:pPr>
        <w:tabs>
          <w:tab w:val="left" w:pos="8136"/>
        </w:tabs>
        <w:suppressAutoHyphens/>
        <w:jc w:val="center"/>
        <w:rPr>
          <w:rFonts w:ascii="Titillium Web" w:eastAsia="Times New Roman" w:hAnsi="Titillium Web" w:cs="Tahoma"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>con il presente Atto</w:t>
      </w:r>
    </w:p>
    <w:p w14:paraId="794254B8" w14:textId="77777777" w:rsidR="008E07A8" w:rsidRPr="00E96134" w:rsidRDefault="008E07A8" w:rsidP="008E07A8">
      <w:pPr>
        <w:tabs>
          <w:tab w:val="left" w:pos="8136"/>
        </w:tabs>
        <w:suppressAutoHyphens/>
        <w:jc w:val="center"/>
        <w:rPr>
          <w:rFonts w:ascii="Titillium Web" w:eastAsia="Times New Roman" w:hAnsi="Titillium Web" w:cs="Tahoma"/>
          <w:sz w:val="22"/>
          <w:szCs w:val="22"/>
          <w:lang w:eastAsia="ar-SA"/>
        </w:rPr>
      </w:pPr>
    </w:p>
    <w:p w14:paraId="00B91ED8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>s.m.i.</w:t>
      </w:r>
      <w:proofErr w:type="spellEnd"/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, consapevole delle sanzioni penali di cui all’art. 76 del medesimo decreto: </w:t>
      </w:r>
    </w:p>
    <w:p w14:paraId="58E0EBA8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>1. di avere piena conoscenza della Documentazione acclusa al presente avviso, di accettarne e di rispettarne tutte le disposizioni ivi contenute;</w:t>
      </w:r>
    </w:p>
    <w:p w14:paraId="47BD65CC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2. di impegnarsi (laddove occupi un numero pari o superiore a cinquanta dipendenti e sia tenuto a redigere il rapporto sulla situazione del personale ai sensi dell’art. 46 del decreto legislativo 11 aprile 2006,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</w:t>
      </w: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lastRenderedPageBreak/>
        <w:t xml:space="preserve">attestazione della sua contestuale trasmissione alle rappresentanze sindacali aziendali e alla consigliera e al consigliere regionale di parità; </w:t>
      </w:r>
    </w:p>
    <w:p w14:paraId="47F71947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iCs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3. 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parità, pena l’applicazione delle penali di cui all’articolo 47, comma 6 del decreto legge 31 maggio 2021 n. 77, convertito con modificazioni dalla legge 29 luglio 2021 n. 108;</w:t>
      </w:r>
    </w:p>
    <w:p w14:paraId="6D918E49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iCs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 xml:space="preserve">4. di impegnarsi </w:t>
      </w:r>
      <w:bookmarkStart w:id="0" w:name="_Hlk132361389"/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0"/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>, pena l’applicazione delle penali di cui all’art. 47, comma 6, del decreto-legge 31 maggio 2021 n.77, convertito con modificazioni dalla legge 29 luglio 2021 n. 108;</w:t>
      </w:r>
    </w:p>
    <w:p w14:paraId="040C6A07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iCs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 xml:space="preserve">5. di impegnarsi (nel caso di aggiudicazione in suo favore della procedura di gara) ad assicurare: </w:t>
      </w:r>
    </w:p>
    <w:p w14:paraId="6B4C4A69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iCs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68CF7D00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iCs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>- una quota pari al 30% delle assunzioni necessarie per l’esecuzione del contratto o per la realizzazione di attività ad esso connesse o strumentali all’occupazione femminile.</w:t>
      </w:r>
    </w:p>
    <w:p w14:paraId="7AFB67B3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iCs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 xml:space="preserve">6. di impegnarsi ad osservare gli obblighi specifici del PNRR, tra cui il principio di non arrecare un danno significativo agli obiettivi ambientali cd. “Do No </w:t>
      </w:r>
      <w:proofErr w:type="spellStart"/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>Significant</w:t>
      </w:r>
      <w:proofErr w:type="spellEnd"/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 xml:space="preserve"> </w:t>
      </w:r>
      <w:proofErr w:type="spellStart"/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>Harm</w:t>
      </w:r>
      <w:proofErr w:type="spellEnd"/>
      <w:r w:rsidRPr="00E96134">
        <w:rPr>
          <w:rFonts w:ascii="Titillium Web" w:eastAsia="Times New Roman" w:hAnsi="Titillium Web" w:cs="Tahoma"/>
          <w:iCs/>
          <w:sz w:val="22"/>
          <w:szCs w:val="22"/>
          <w:lang w:eastAsia="ar-SA"/>
        </w:rPr>
        <w:t xml:space="preserve">” (DNSH) ai sensi dell'articolo 17 del Regolamento (UE) 2020/852 del Parlamento europeo e del Consiglio del 18 giugno 2020, nonché in riferimento alla “Guida operativa” di cui alla Circolare MEF del 30 dicembre 2021, n. 32. </w:t>
      </w:r>
    </w:p>
    <w:p w14:paraId="19C64427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</w:p>
    <w:p w14:paraId="66314509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0B32654E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  <w:r w:rsidRPr="00E96134">
        <w:rPr>
          <w:rFonts w:ascii="Titillium Web" w:eastAsia="Times New Roman" w:hAnsi="Titillium Web" w:cs="Tahoma"/>
          <w:sz w:val="22"/>
          <w:szCs w:val="22"/>
          <w:lang w:eastAsia="ar-SA"/>
        </w:rPr>
        <w:t xml:space="preserve">Il concorrente ed il titolare effettivo si impegnano 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27651E8E" w14:textId="77777777" w:rsidR="008E07A8" w:rsidRPr="00E96134" w:rsidRDefault="008E07A8" w:rsidP="008E07A8">
      <w:pPr>
        <w:tabs>
          <w:tab w:val="left" w:pos="8136"/>
        </w:tabs>
        <w:suppressAutoHyphens/>
        <w:jc w:val="both"/>
        <w:rPr>
          <w:rFonts w:ascii="Titillium Web" w:eastAsia="Times New Roman" w:hAnsi="Titillium Web" w:cs="Tahoma"/>
          <w:sz w:val="22"/>
          <w:szCs w:val="22"/>
          <w:lang w:eastAsia="ar-SA"/>
        </w:rPr>
      </w:pPr>
    </w:p>
    <w:p w14:paraId="2799DE19" w14:textId="77777777" w:rsidR="008E07A8" w:rsidRPr="00E96134" w:rsidRDefault="008E07A8" w:rsidP="008E07A8">
      <w:pPr>
        <w:autoSpaceDE w:val="0"/>
        <w:autoSpaceDN w:val="0"/>
        <w:adjustRightInd w:val="0"/>
        <w:ind w:right="140" w:firstLine="4678"/>
        <w:jc w:val="center"/>
        <w:rPr>
          <w:rFonts w:ascii="Titillium Web" w:eastAsia="Times New Roman" w:hAnsi="Titillium Web" w:cs="Calibri"/>
          <w:iCs/>
          <w:color w:val="000000"/>
          <w:sz w:val="22"/>
          <w:szCs w:val="22"/>
          <w:lang w:eastAsia="it-IT"/>
        </w:rPr>
      </w:pPr>
      <w:r w:rsidRPr="00E96134">
        <w:rPr>
          <w:rFonts w:ascii="Titillium Web" w:eastAsia="Times New Roman" w:hAnsi="Titillium Web" w:cs="Calibri"/>
          <w:iCs/>
          <w:color w:val="000000"/>
          <w:sz w:val="22"/>
          <w:szCs w:val="22"/>
          <w:lang w:eastAsia="it-IT"/>
        </w:rPr>
        <w:t>FIRMATARIO</w:t>
      </w:r>
    </w:p>
    <w:p w14:paraId="54EA3A6D" w14:textId="77777777" w:rsidR="008E07A8" w:rsidRPr="008E07A8" w:rsidRDefault="008E07A8" w:rsidP="008E07A8">
      <w:pPr>
        <w:autoSpaceDE w:val="0"/>
        <w:autoSpaceDN w:val="0"/>
        <w:adjustRightInd w:val="0"/>
        <w:ind w:right="140" w:firstLine="4678"/>
        <w:jc w:val="center"/>
        <w:rPr>
          <w:rFonts w:ascii="Titillium Web" w:eastAsia="Times New Roman" w:hAnsi="Titillium Web" w:cs="Calibri"/>
          <w:iCs/>
          <w:color w:val="000000"/>
          <w:sz w:val="22"/>
          <w:szCs w:val="22"/>
          <w:lang w:eastAsia="it-IT"/>
        </w:rPr>
      </w:pPr>
      <w:r w:rsidRPr="00E96134">
        <w:rPr>
          <w:rFonts w:ascii="Titillium Web" w:eastAsia="Times New Roman" w:hAnsi="Titillium Web" w:cs="Calibri"/>
          <w:iCs/>
          <w:color w:val="000000"/>
          <w:sz w:val="22"/>
          <w:szCs w:val="22"/>
          <w:lang w:eastAsia="it-IT"/>
        </w:rPr>
        <w:t>__________</w:t>
      </w:r>
      <w:r w:rsidRPr="008E07A8">
        <w:rPr>
          <w:rFonts w:ascii="Titillium Web" w:eastAsia="Times New Roman" w:hAnsi="Titillium Web" w:cs="Calibri"/>
          <w:iCs/>
          <w:color w:val="000000"/>
          <w:sz w:val="22"/>
          <w:szCs w:val="22"/>
          <w:lang w:eastAsia="it-IT"/>
        </w:rPr>
        <w:t>_</w:t>
      </w:r>
    </w:p>
    <w:p w14:paraId="6F87EFE0" w14:textId="67F98F03" w:rsidR="00B95469" w:rsidRPr="008E07A8" w:rsidRDefault="008E07A8" w:rsidP="008E07A8">
      <w:pPr>
        <w:autoSpaceDE w:val="0"/>
        <w:autoSpaceDN w:val="0"/>
        <w:adjustRightInd w:val="0"/>
        <w:ind w:right="140" w:firstLine="4678"/>
        <w:jc w:val="center"/>
        <w:rPr>
          <w:rFonts w:ascii="Titillium Web" w:eastAsia="Times New Roman" w:hAnsi="Titillium Web" w:cs="Calibri"/>
          <w:iCs/>
          <w:color w:val="000000"/>
          <w:sz w:val="22"/>
          <w:szCs w:val="22"/>
          <w:lang w:eastAsia="it-IT"/>
        </w:rPr>
      </w:pPr>
      <w:r w:rsidRPr="008E07A8">
        <w:rPr>
          <w:rFonts w:ascii="Titillium Web" w:eastAsia="Times New Roman" w:hAnsi="Titillium Web" w:cs="Calibri"/>
          <w:iCs/>
          <w:color w:val="000000"/>
          <w:sz w:val="22"/>
          <w:szCs w:val="22"/>
          <w:lang w:eastAsia="it-IT"/>
        </w:rPr>
        <w:t>firmato digitalmente</w:t>
      </w:r>
    </w:p>
    <w:sectPr w:rsidR="00B95469" w:rsidRPr="008E07A8" w:rsidSect="005D78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4BD2" w14:textId="77777777" w:rsidR="009151C4" w:rsidRDefault="009151C4" w:rsidP="000151A3">
      <w:r>
        <w:separator/>
      </w:r>
    </w:p>
  </w:endnote>
  <w:endnote w:type="continuationSeparator" w:id="0">
    <w:p w14:paraId="05578168" w14:textId="77777777" w:rsidR="009151C4" w:rsidRDefault="009151C4" w:rsidP="000151A3">
      <w:r>
        <w:continuationSeparator/>
      </w:r>
    </w:p>
  </w:endnote>
  <w:endnote w:type="continuationNotice" w:id="1">
    <w:p w14:paraId="314CED59" w14:textId="77777777" w:rsidR="009151C4" w:rsidRDefault="00915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7AE47807" w:rsidR="00F33BD7" w:rsidRDefault="00793840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58244" behindDoc="0" locked="0" layoutInCell="1" allowOverlap="1" wp14:anchorId="113A641A" wp14:editId="1B9A3DC1">
          <wp:simplePos x="0" y="0"/>
          <wp:positionH relativeFrom="page">
            <wp:posOffset>771525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58246" behindDoc="0" locked="0" layoutInCell="1" allowOverlap="1" wp14:anchorId="78091C82" wp14:editId="29DDACB0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6217CF79" w:rsidR="00BB0D1C" w:rsidRDefault="00793840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58240" behindDoc="0" locked="0" layoutInCell="1" allowOverlap="1" wp14:anchorId="05AC5BEF" wp14:editId="0C44B45A">
          <wp:simplePos x="0" y="0"/>
          <wp:positionH relativeFrom="page">
            <wp:posOffset>685800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7E">
      <w:rPr>
        <w:noProof/>
      </w:rPr>
      <w:drawing>
        <wp:anchor distT="0" distB="0" distL="114300" distR="114300" simplePos="0" relativeHeight="251658245" behindDoc="0" locked="0" layoutInCell="1" allowOverlap="1" wp14:anchorId="19420265" wp14:editId="467F34B7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0DEB44C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882C" w14:textId="77777777" w:rsidR="009151C4" w:rsidRDefault="009151C4" w:rsidP="000151A3">
      <w:r>
        <w:separator/>
      </w:r>
    </w:p>
  </w:footnote>
  <w:footnote w:type="continuationSeparator" w:id="0">
    <w:p w14:paraId="13D053D0" w14:textId="77777777" w:rsidR="009151C4" w:rsidRDefault="009151C4" w:rsidP="000151A3">
      <w:r>
        <w:continuationSeparator/>
      </w:r>
    </w:p>
  </w:footnote>
  <w:footnote w:type="continuationNotice" w:id="1">
    <w:p w14:paraId="460D3E03" w14:textId="77777777" w:rsidR="009151C4" w:rsidRDefault="00915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8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7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7"/>
  </w:num>
  <w:num w:numId="2" w16cid:durableId="1172335831">
    <w:abstractNumId w:val="2"/>
  </w:num>
  <w:num w:numId="3" w16cid:durableId="1341346522">
    <w:abstractNumId w:val="3"/>
  </w:num>
  <w:num w:numId="4" w16cid:durableId="1292861031">
    <w:abstractNumId w:val="1"/>
  </w:num>
  <w:num w:numId="5" w16cid:durableId="336808390">
    <w:abstractNumId w:val="9"/>
  </w:num>
  <w:num w:numId="6" w16cid:durableId="2005550067">
    <w:abstractNumId w:val="5"/>
  </w:num>
  <w:num w:numId="7" w16cid:durableId="21049554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4"/>
  </w:num>
  <w:num w:numId="9" w16cid:durableId="1044134707">
    <w:abstractNumId w:val="10"/>
  </w:num>
  <w:num w:numId="10" w16cid:durableId="1213615809">
    <w:abstractNumId w:val="0"/>
  </w:num>
  <w:num w:numId="11" w16cid:durableId="656957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A3915"/>
    <w:rsid w:val="000C3CE8"/>
    <w:rsid w:val="000F7D32"/>
    <w:rsid w:val="0011116F"/>
    <w:rsid w:val="00124132"/>
    <w:rsid w:val="001243DA"/>
    <w:rsid w:val="00150276"/>
    <w:rsid w:val="00174A5D"/>
    <w:rsid w:val="0017676F"/>
    <w:rsid w:val="001A0DCC"/>
    <w:rsid w:val="002459D3"/>
    <w:rsid w:val="0025147A"/>
    <w:rsid w:val="00260491"/>
    <w:rsid w:val="00270116"/>
    <w:rsid w:val="002856BF"/>
    <w:rsid w:val="002B0115"/>
    <w:rsid w:val="002C4143"/>
    <w:rsid w:val="002D494A"/>
    <w:rsid w:val="002F1363"/>
    <w:rsid w:val="002F1BDE"/>
    <w:rsid w:val="002F4BC9"/>
    <w:rsid w:val="00312EA8"/>
    <w:rsid w:val="00321EAB"/>
    <w:rsid w:val="003648E6"/>
    <w:rsid w:val="00367A1A"/>
    <w:rsid w:val="003828AE"/>
    <w:rsid w:val="003E163F"/>
    <w:rsid w:val="003E33E3"/>
    <w:rsid w:val="0043602A"/>
    <w:rsid w:val="00454CBA"/>
    <w:rsid w:val="00455B52"/>
    <w:rsid w:val="00466754"/>
    <w:rsid w:val="004803F8"/>
    <w:rsid w:val="004818D2"/>
    <w:rsid w:val="0048578F"/>
    <w:rsid w:val="0049565D"/>
    <w:rsid w:val="004A030F"/>
    <w:rsid w:val="004B657E"/>
    <w:rsid w:val="004E3D67"/>
    <w:rsid w:val="00542205"/>
    <w:rsid w:val="005638FB"/>
    <w:rsid w:val="00572F05"/>
    <w:rsid w:val="00587218"/>
    <w:rsid w:val="005955A2"/>
    <w:rsid w:val="005A2002"/>
    <w:rsid w:val="005D4C4C"/>
    <w:rsid w:val="005D7882"/>
    <w:rsid w:val="005D7F5C"/>
    <w:rsid w:val="005E3577"/>
    <w:rsid w:val="0060566F"/>
    <w:rsid w:val="00605B8A"/>
    <w:rsid w:val="00616283"/>
    <w:rsid w:val="006633BE"/>
    <w:rsid w:val="00677D54"/>
    <w:rsid w:val="006B0A83"/>
    <w:rsid w:val="006C286F"/>
    <w:rsid w:val="006C2B1F"/>
    <w:rsid w:val="006D3D16"/>
    <w:rsid w:val="006E0903"/>
    <w:rsid w:val="00706D64"/>
    <w:rsid w:val="0074756F"/>
    <w:rsid w:val="007546D0"/>
    <w:rsid w:val="00763652"/>
    <w:rsid w:val="00785883"/>
    <w:rsid w:val="00793840"/>
    <w:rsid w:val="007965A4"/>
    <w:rsid w:val="007D36AA"/>
    <w:rsid w:val="007D6F62"/>
    <w:rsid w:val="00821EFF"/>
    <w:rsid w:val="008233D0"/>
    <w:rsid w:val="00863788"/>
    <w:rsid w:val="00880C06"/>
    <w:rsid w:val="00891A05"/>
    <w:rsid w:val="008951BC"/>
    <w:rsid w:val="008B0FF9"/>
    <w:rsid w:val="008E003A"/>
    <w:rsid w:val="008E07A8"/>
    <w:rsid w:val="00910044"/>
    <w:rsid w:val="009151C4"/>
    <w:rsid w:val="00926173"/>
    <w:rsid w:val="00931B68"/>
    <w:rsid w:val="00947CBE"/>
    <w:rsid w:val="0097476C"/>
    <w:rsid w:val="009748D5"/>
    <w:rsid w:val="009800CB"/>
    <w:rsid w:val="009A5FCE"/>
    <w:rsid w:val="009B1AA0"/>
    <w:rsid w:val="009C5FEC"/>
    <w:rsid w:val="009E35AD"/>
    <w:rsid w:val="009F2615"/>
    <w:rsid w:val="00A04AB6"/>
    <w:rsid w:val="00A46A59"/>
    <w:rsid w:val="00A85FD0"/>
    <w:rsid w:val="00AA1B90"/>
    <w:rsid w:val="00AB7230"/>
    <w:rsid w:val="00AC5451"/>
    <w:rsid w:val="00AC554D"/>
    <w:rsid w:val="00AE4599"/>
    <w:rsid w:val="00B0269C"/>
    <w:rsid w:val="00B202EE"/>
    <w:rsid w:val="00B22815"/>
    <w:rsid w:val="00B70189"/>
    <w:rsid w:val="00B95469"/>
    <w:rsid w:val="00BA4AAE"/>
    <w:rsid w:val="00BA6D92"/>
    <w:rsid w:val="00BB0D1C"/>
    <w:rsid w:val="00BF5770"/>
    <w:rsid w:val="00C00BBC"/>
    <w:rsid w:val="00C44F66"/>
    <w:rsid w:val="00C70CA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C094B"/>
    <w:rsid w:val="00DF52FF"/>
    <w:rsid w:val="00DF6212"/>
    <w:rsid w:val="00DF6D6D"/>
    <w:rsid w:val="00E36909"/>
    <w:rsid w:val="00E42084"/>
    <w:rsid w:val="00E4599A"/>
    <w:rsid w:val="00E66BB1"/>
    <w:rsid w:val="00E75C31"/>
    <w:rsid w:val="00E96134"/>
    <w:rsid w:val="00EC0530"/>
    <w:rsid w:val="00EC23F7"/>
    <w:rsid w:val="00EE33BE"/>
    <w:rsid w:val="00EF31DF"/>
    <w:rsid w:val="00EF428E"/>
    <w:rsid w:val="00F03BA1"/>
    <w:rsid w:val="00F0544A"/>
    <w:rsid w:val="00F10F3C"/>
    <w:rsid w:val="00F33BD7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3.xml><?xml version="1.0" encoding="utf-8"?>
<ds:datastoreItem xmlns:ds="http://schemas.openxmlformats.org/officeDocument/2006/customXml" ds:itemID="{8DF42BEC-03EC-46EE-9FB3-C0F22A6A3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694</Words>
  <Characters>4894</Characters>
  <Application>Microsoft Office Word</Application>
  <DocSecurity>0</DocSecurity>
  <Lines>203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116</cp:revision>
  <cp:lastPrinted>2023-07-14T13:31:00Z</cp:lastPrinted>
  <dcterms:created xsi:type="dcterms:W3CDTF">2022-08-04T15:31:00Z</dcterms:created>
  <dcterms:modified xsi:type="dcterms:W3CDTF">2024-07-02T11:17:00Z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