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1B9F5F39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E51C1B">
        <w:rPr>
          <w:rFonts w:ascii="Titillium Web" w:hAnsi="Titillium Web"/>
          <w:b/>
          <w:bCs/>
          <w:sz w:val="20"/>
          <w:szCs w:val="20"/>
        </w:rPr>
        <w:t>62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E51C1B">
        <w:rPr>
          <w:rFonts w:ascii="Titillium Web" w:hAnsi="Titillium Web"/>
          <w:b/>
          <w:bCs/>
          <w:sz w:val="20"/>
          <w:szCs w:val="20"/>
        </w:rPr>
        <w:t>15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E51C1B">
        <w:rPr>
          <w:rFonts w:ascii="Titillium Web" w:hAnsi="Titillium Web"/>
          <w:b/>
          <w:bCs/>
          <w:sz w:val="20"/>
          <w:szCs w:val="20"/>
        </w:rPr>
        <w:t>5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03131970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1A6E22">
        <w:rPr>
          <w:rFonts w:ascii="Titillium Web" w:hAnsi="Titillium Web"/>
          <w:b/>
          <w:bCs/>
          <w:sz w:val="20"/>
          <w:szCs w:val="20"/>
        </w:rPr>
        <w:t xml:space="preserve">SUL </w:t>
      </w:r>
      <w:r w:rsidR="00033D32">
        <w:rPr>
          <w:rFonts w:ascii="Titillium Web" w:hAnsi="Titillium Web"/>
          <w:b/>
          <w:bCs/>
          <w:sz w:val="20"/>
          <w:szCs w:val="20"/>
        </w:rPr>
        <w:t>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</w:t>
      </w:r>
      <w:r w:rsidR="00E51C1B">
        <w:rPr>
          <w:rFonts w:ascii="Titillium Web" w:hAnsi="Titillium Web"/>
          <w:b/>
          <w:bCs/>
          <w:sz w:val="20"/>
          <w:szCs w:val="20"/>
        </w:rPr>
        <w:t>USD 3750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</w:t>
      </w:r>
      <w:r w:rsidR="00E51C1B">
        <w:rPr>
          <w:rFonts w:ascii="Titillium Web" w:hAnsi="Titillium Web"/>
          <w:b/>
          <w:bCs/>
          <w:sz w:val="20"/>
          <w:szCs w:val="20"/>
        </w:rPr>
        <w:t xml:space="preserve">/SERVIZIO </w:t>
      </w:r>
      <w:r>
        <w:rPr>
          <w:rFonts w:ascii="Titillium Web" w:hAnsi="Titillium Web"/>
          <w:b/>
          <w:bCs/>
          <w:sz w:val="20"/>
          <w:szCs w:val="20"/>
        </w:rPr>
        <w:t>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51C1B">
        <w:rPr>
          <w:rFonts w:ascii="Titillium Web" w:hAnsi="Titillium Web"/>
          <w:b/>
          <w:bCs/>
          <w:sz w:val="20"/>
          <w:szCs w:val="20"/>
        </w:rPr>
        <w:t>PUBBLICAZIONE ARTICOLO SCIENTIFICO</w:t>
      </w:r>
      <w:r w:rsidR="00554926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51C1B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0A475928" w14:textId="2DE6E77B" w:rsidR="00216D88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51C1B" w:rsidRPr="00E51C1B">
        <w:rPr>
          <w:rFonts w:ascii="Titillium Web" w:hAnsi="Titillium Web"/>
          <w:b/>
          <w:bCs/>
          <w:sz w:val="20"/>
          <w:szCs w:val="20"/>
        </w:rPr>
        <w:t>B1AD55FA6F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DBF4D5C" w14:textId="469FAD9C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sz w:val="20"/>
          <w:szCs w:val="20"/>
        </w:rPr>
        <w:t xml:space="preserve"> la richiesta d</w:t>
      </w:r>
      <w:r>
        <w:rPr>
          <w:rFonts w:ascii="Titillium Web" w:hAnsi="Titillium Web"/>
          <w:sz w:val="20"/>
          <w:szCs w:val="20"/>
        </w:rPr>
        <w:t>el Prof. Di Natale F</w:t>
      </w:r>
      <w:r w:rsidRPr="00CB3368">
        <w:rPr>
          <w:rFonts w:ascii="Titillium Web" w:hAnsi="Titillium Web"/>
          <w:sz w:val="20"/>
          <w:szCs w:val="20"/>
        </w:rPr>
        <w:t xml:space="preserve">., con la quale chiedeva </w:t>
      </w:r>
      <w:r w:rsidR="00E51C1B">
        <w:rPr>
          <w:rFonts w:ascii="Titillium Web" w:hAnsi="Titillium Web"/>
          <w:sz w:val="20"/>
          <w:szCs w:val="20"/>
        </w:rPr>
        <w:t>il pagamento delle spese di pubblicazione in open access sulla rivista “</w:t>
      </w:r>
      <w:r w:rsidR="00E51C1B" w:rsidRPr="00E51C1B">
        <w:rPr>
          <w:rFonts w:ascii="Titillium Web" w:hAnsi="Titillium Web"/>
          <w:b/>
          <w:bCs/>
          <w:sz w:val="20"/>
          <w:szCs w:val="20"/>
        </w:rPr>
        <w:t xml:space="preserve">ACS Applied </w:t>
      </w:r>
      <w:proofErr w:type="spellStart"/>
      <w:r w:rsidR="00E51C1B" w:rsidRPr="00E51C1B">
        <w:rPr>
          <w:rFonts w:ascii="Titillium Web" w:hAnsi="Titillium Web"/>
          <w:b/>
          <w:bCs/>
          <w:sz w:val="20"/>
          <w:szCs w:val="20"/>
        </w:rPr>
        <w:t>Polymer</w:t>
      </w:r>
      <w:proofErr w:type="spellEnd"/>
      <w:r w:rsidR="00E51C1B" w:rsidRPr="00E51C1B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E51C1B" w:rsidRPr="00E51C1B">
        <w:rPr>
          <w:rFonts w:ascii="Titillium Web" w:hAnsi="Titillium Web"/>
          <w:b/>
          <w:bCs/>
          <w:sz w:val="20"/>
          <w:szCs w:val="20"/>
        </w:rPr>
        <w:t>Materials</w:t>
      </w:r>
      <w:proofErr w:type="spellEnd"/>
      <w:r w:rsidR="00E51C1B" w:rsidRPr="00E51C1B">
        <w:rPr>
          <w:rFonts w:ascii="Titillium Web" w:hAnsi="Titillium Web"/>
          <w:sz w:val="20"/>
          <w:szCs w:val="20"/>
        </w:rPr>
        <w:t>” dell’articolo dal titolo “</w:t>
      </w:r>
      <w:r w:rsidR="00E51C1B" w:rsidRPr="00E51C1B">
        <w:rPr>
          <w:rFonts w:ascii="Titillium Web" w:hAnsi="Titillium Web"/>
          <w:i/>
          <w:iCs/>
          <w:sz w:val="20"/>
          <w:szCs w:val="20"/>
        </w:rPr>
        <w:t xml:space="preserve">Design and production of </w:t>
      </w:r>
      <w:proofErr w:type="spellStart"/>
      <w:r w:rsidR="00E51C1B" w:rsidRPr="00E51C1B">
        <w:rPr>
          <w:rFonts w:ascii="Titillium Web" w:hAnsi="Titillium Web"/>
          <w:i/>
          <w:iCs/>
          <w:sz w:val="20"/>
          <w:szCs w:val="20"/>
        </w:rPr>
        <w:t>functionalized</w:t>
      </w:r>
      <w:proofErr w:type="spellEnd"/>
      <w:r w:rsidR="00E51C1B" w:rsidRPr="00E51C1B">
        <w:rPr>
          <w:rFonts w:ascii="Titillium Web" w:hAnsi="Titillium Web"/>
          <w:i/>
          <w:iCs/>
          <w:sz w:val="20"/>
          <w:szCs w:val="20"/>
        </w:rPr>
        <w:t xml:space="preserve"> </w:t>
      </w:r>
      <w:proofErr w:type="spellStart"/>
      <w:r w:rsidR="00E51C1B" w:rsidRPr="00E51C1B">
        <w:rPr>
          <w:rFonts w:ascii="Titillium Web" w:hAnsi="Titillium Web"/>
          <w:i/>
          <w:iCs/>
          <w:sz w:val="20"/>
          <w:szCs w:val="20"/>
        </w:rPr>
        <w:t>electrospun</w:t>
      </w:r>
      <w:proofErr w:type="spellEnd"/>
      <w:r w:rsidR="00E51C1B" w:rsidRPr="00E51C1B">
        <w:rPr>
          <w:rFonts w:ascii="Titillium Web" w:hAnsi="Titillium Web"/>
          <w:i/>
          <w:iCs/>
          <w:sz w:val="20"/>
          <w:szCs w:val="20"/>
        </w:rPr>
        <w:t xml:space="preserve"> </w:t>
      </w:r>
      <w:proofErr w:type="spellStart"/>
      <w:r w:rsidR="00E51C1B" w:rsidRPr="00E51C1B">
        <w:rPr>
          <w:rFonts w:ascii="Titillium Web" w:hAnsi="Titillium Web"/>
          <w:i/>
          <w:iCs/>
          <w:sz w:val="20"/>
          <w:szCs w:val="20"/>
        </w:rPr>
        <w:t>fibres</w:t>
      </w:r>
      <w:proofErr w:type="spellEnd"/>
      <w:r w:rsidR="00E51C1B" w:rsidRPr="00E51C1B">
        <w:rPr>
          <w:rFonts w:ascii="Titillium Web" w:hAnsi="Titillium Web"/>
          <w:i/>
          <w:iCs/>
          <w:sz w:val="20"/>
          <w:szCs w:val="20"/>
        </w:rPr>
        <w:t xml:space="preserve"> for </w:t>
      </w:r>
      <w:proofErr w:type="spellStart"/>
      <w:r w:rsidR="00E51C1B" w:rsidRPr="00E51C1B">
        <w:rPr>
          <w:rFonts w:ascii="Titillium Web" w:hAnsi="Titillium Web"/>
          <w:i/>
          <w:iCs/>
          <w:sz w:val="20"/>
          <w:szCs w:val="20"/>
        </w:rPr>
        <w:t>palladium</w:t>
      </w:r>
      <w:proofErr w:type="spellEnd"/>
      <w:r w:rsidR="00E51C1B" w:rsidRPr="00E51C1B">
        <w:rPr>
          <w:rFonts w:ascii="Titillium Web" w:hAnsi="Titillium Web"/>
          <w:i/>
          <w:iCs/>
          <w:sz w:val="20"/>
          <w:szCs w:val="20"/>
        </w:rPr>
        <w:t xml:space="preserve"> recovery</w:t>
      </w:r>
      <w:proofErr w:type="gramStart"/>
      <w:r w:rsidR="00E51C1B" w:rsidRPr="00E51C1B">
        <w:rPr>
          <w:rFonts w:ascii="Titillium Web" w:hAnsi="Titillium Web"/>
          <w:sz w:val="20"/>
          <w:szCs w:val="20"/>
        </w:rPr>
        <w:t>”</w:t>
      </w:r>
      <w:r w:rsidRPr="00CB3368">
        <w:rPr>
          <w:rFonts w:ascii="Titillium Web" w:hAnsi="Titillium Web"/>
          <w:sz w:val="20"/>
          <w:szCs w:val="20"/>
        </w:rPr>
        <w:t xml:space="preserve"> </w:t>
      </w:r>
      <w:r w:rsidR="00E51C1B">
        <w:rPr>
          <w:rFonts w:ascii="Titillium Web" w:hAnsi="Titillium Web"/>
          <w:sz w:val="20"/>
          <w:szCs w:val="20"/>
        </w:rPr>
        <w:t>,</w:t>
      </w:r>
      <w:proofErr w:type="gramEnd"/>
      <w:r w:rsidR="00E51C1B">
        <w:rPr>
          <w:rFonts w:ascii="Titillium Web" w:hAnsi="Titillium Web"/>
          <w:sz w:val="20"/>
          <w:szCs w:val="20"/>
        </w:rPr>
        <w:t xml:space="preserve"> per le esigenze relative alle attività di ricerca da condurre nell’ambito del progetto</w:t>
      </w:r>
      <w:r w:rsidR="007724DB">
        <w:rPr>
          <w:rFonts w:ascii="Titillium Web" w:hAnsi="Titillium Web"/>
          <w:sz w:val="20"/>
          <w:szCs w:val="20"/>
        </w:rPr>
        <w:t xml:space="preserve"> </w:t>
      </w:r>
      <w:r w:rsidR="007724DB" w:rsidRPr="007724DB">
        <w:rPr>
          <w:rFonts w:ascii="Titillium Web" w:hAnsi="Titillium Web"/>
          <w:sz w:val="20"/>
          <w:szCs w:val="20"/>
        </w:rPr>
        <w:t>PRIN2022-PNRR-DURABLE-DINATALE</w:t>
      </w:r>
      <w:r w:rsidR="007724DB">
        <w:rPr>
          <w:rFonts w:ascii="Titillium Web" w:hAnsi="Titillium Web"/>
          <w:sz w:val="20"/>
          <w:szCs w:val="20"/>
        </w:rPr>
        <w:t>;</w:t>
      </w:r>
      <w:r w:rsidR="00E51C1B">
        <w:rPr>
          <w:rFonts w:ascii="Titillium Web" w:hAnsi="Titillium Web"/>
          <w:sz w:val="20"/>
          <w:szCs w:val="20"/>
        </w:rPr>
        <w:t xml:space="preserve"> </w:t>
      </w:r>
    </w:p>
    <w:p w14:paraId="6EF87C20" w14:textId="36AE93CD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 xml:space="preserve">che </w:t>
      </w:r>
      <w:r w:rsidR="00E51C1B">
        <w:rPr>
          <w:rFonts w:ascii="Titillium Web" w:hAnsi="Titillium Web"/>
          <w:sz w:val="20"/>
          <w:szCs w:val="20"/>
        </w:rPr>
        <w:t>il presente servizio</w:t>
      </w:r>
      <w:r w:rsidRPr="00684AF5">
        <w:rPr>
          <w:rFonts w:ascii="Titillium Web" w:hAnsi="Titillium Web"/>
          <w:sz w:val="20"/>
          <w:szCs w:val="20"/>
        </w:rPr>
        <w:t xml:space="preserve">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 xml:space="preserve">obiettivi e ai target delle milestone </w:t>
      </w:r>
      <w:r w:rsidR="00E51C1B">
        <w:rPr>
          <w:rFonts w:ascii="Titillium Web" w:hAnsi="Titillium Web"/>
          <w:sz w:val="20"/>
          <w:szCs w:val="20"/>
        </w:rPr>
        <w:t>del progetto suddetto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20737476" w14:textId="4BC89662" w:rsidR="00451AD3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ACCERTATO</w:t>
      </w:r>
      <w:r w:rsidRPr="00CB3368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</w:t>
      </w:r>
      <w:r w:rsidR="00554926">
        <w:rPr>
          <w:rFonts w:ascii="Titillium Web" w:hAnsi="Titillium Web"/>
          <w:bCs/>
          <w:sz w:val="20"/>
          <w:szCs w:val="20"/>
        </w:rPr>
        <w:t xml:space="preserve"> e il bene/servizio non è presente sul MEPA;</w:t>
      </w:r>
    </w:p>
    <w:p w14:paraId="539B0F5C" w14:textId="77777777" w:rsidR="007724DB" w:rsidRDefault="007724DB" w:rsidP="00451AD3">
      <w:pPr>
        <w:jc w:val="both"/>
        <w:rPr>
          <w:rFonts w:ascii="Titillium Web" w:hAnsi="Titillium Web"/>
          <w:bCs/>
          <w:sz w:val="20"/>
          <w:szCs w:val="20"/>
        </w:rPr>
      </w:pPr>
    </w:p>
    <w:p w14:paraId="4F12950B" w14:textId="0D72A86B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/>
          <w:sz w:val="20"/>
          <w:szCs w:val="20"/>
        </w:rPr>
        <w:t>DATO ATTO</w:t>
      </w:r>
      <w:r w:rsidRPr="007724DB">
        <w:rPr>
          <w:rFonts w:ascii="Titillium Web" w:hAnsi="Titillium Web"/>
          <w:bCs/>
          <w:sz w:val="20"/>
          <w:szCs w:val="20"/>
        </w:rPr>
        <w:t xml:space="preserve"> che la scelta delle riviste scientifiche cui proporre la pubblicazione di articoli è condizionata da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>elementi specifici, fra i quali:</w:t>
      </w:r>
    </w:p>
    <w:p w14:paraId="16ECA961" w14:textId="77777777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Apple Color Emoji" w:hAnsi="Apple Color Emoji" w:cs="Apple Color Emoji"/>
          <w:bCs/>
          <w:sz w:val="20"/>
          <w:szCs w:val="20"/>
        </w:rPr>
        <w:t>▪</w:t>
      </w:r>
      <w:r w:rsidRPr="007724DB">
        <w:rPr>
          <w:rFonts w:ascii="Titillium Web" w:hAnsi="Titillium Web"/>
          <w:bCs/>
          <w:sz w:val="20"/>
          <w:szCs w:val="20"/>
        </w:rPr>
        <w:t xml:space="preserve"> le tematiche trattate e l’approccio metodologico della rivista;</w:t>
      </w:r>
    </w:p>
    <w:p w14:paraId="102AB4AD" w14:textId="77777777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Apple Color Emoji" w:hAnsi="Apple Color Emoji" w:cs="Apple Color Emoji"/>
          <w:bCs/>
          <w:sz w:val="20"/>
          <w:szCs w:val="20"/>
        </w:rPr>
        <w:t>▪</w:t>
      </w:r>
      <w:r w:rsidRPr="007724DB">
        <w:rPr>
          <w:rFonts w:ascii="Titillium Web" w:hAnsi="Titillium Web"/>
          <w:bCs/>
          <w:sz w:val="20"/>
          <w:szCs w:val="20"/>
        </w:rPr>
        <w:t xml:space="preserve"> Il pubblico a cui si rivolge;</w:t>
      </w:r>
    </w:p>
    <w:p w14:paraId="36D146E5" w14:textId="442D2B44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Apple Color Emoji" w:hAnsi="Apple Color Emoji" w:cs="Apple Color Emoji"/>
          <w:bCs/>
          <w:sz w:val="20"/>
          <w:szCs w:val="20"/>
        </w:rPr>
        <w:t>▪</w:t>
      </w:r>
      <w:r w:rsidRPr="007724DB">
        <w:rPr>
          <w:rFonts w:ascii="Titillium Web" w:hAnsi="Titillium Web"/>
          <w:bCs/>
          <w:sz w:val="20"/>
          <w:szCs w:val="20"/>
        </w:rPr>
        <w:t xml:space="preserve"> Il </w:t>
      </w:r>
      <w:proofErr w:type="spellStart"/>
      <w:r w:rsidRPr="007724DB">
        <w:rPr>
          <w:rFonts w:ascii="Titillium Web" w:hAnsi="Titillium Web"/>
          <w:bCs/>
          <w:sz w:val="20"/>
          <w:szCs w:val="20"/>
        </w:rPr>
        <w:t>citation</w:t>
      </w:r>
      <w:proofErr w:type="spellEnd"/>
      <w:r w:rsidRPr="007724DB">
        <w:rPr>
          <w:rFonts w:ascii="Titillium Web" w:hAnsi="Titillium Web"/>
          <w:bCs/>
          <w:sz w:val="20"/>
          <w:szCs w:val="20"/>
        </w:rPr>
        <w:t xml:space="preserve"> index della rivista, che rappresenta il numero di citazioni ricevute da un articolo o da un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>autore all’interno della banca dati “Web of Science”;</w:t>
      </w:r>
    </w:p>
    <w:p w14:paraId="3AAA98C7" w14:textId="4EC63CDF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Apple Color Emoji" w:hAnsi="Apple Color Emoji" w:cs="Apple Color Emoji"/>
          <w:bCs/>
          <w:sz w:val="20"/>
          <w:szCs w:val="20"/>
        </w:rPr>
        <w:t>▪</w:t>
      </w:r>
      <w:r w:rsidRPr="007724DB">
        <w:rPr>
          <w:rFonts w:ascii="Titillium Web" w:hAnsi="Titillium Web"/>
          <w:bCs/>
          <w:sz w:val="20"/>
          <w:szCs w:val="20"/>
        </w:rPr>
        <w:t xml:space="preserve"> l'impact </w:t>
      </w:r>
      <w:proofErr w:type="spellStart"/>
      <w:r w:rsidRPr="007724DB">
        <w:rPr>
          <w:rFonts w:ascii="Titillium Web" w:hAnsi="Titillium Web"/>
          <w:bCs/>
          <w:sz w:val="20"/>
          <w:szCs w:val="20"/>
        </w:rPr>
        <w:t>factor</w:t>
      </w:r>
      <w:proofErr w:type="spellEnd"/>
      <w:r w:rsidRPr="007724DB">
        <w:rPr>
          <w:rFonts w:ascii="Titillium Web" w:hAnsi="Titillium Web"/>
          <w:bCs/>
          <w:sz w:val="20"/>
          <w:szCs w:val="20"/>
        </w:rPr>
        <w:t xml:space="preserve"> della rivista, che rappresenta l’indicatore </w:t>
      </w:r>
      <w:proofErr w:type="spellStart"/>
      <w:r w:rsidRPr="007724DB">
        <w:rPr>
          <w:rFonts w:ascii="Titillium Web" w:hAnsi="Titillium Web"/>
          <w:bCs/>
          <w:sz w:val="20"/>
          <w:szCs w:val="20"/>
        </w:rPr>
        <w:t>bibliometrico</w:t>
      </w:r>
      <w:proofErr w:type="spellEnd"/>
      <w:r w:rsidRPr="007724DB">
        <w:rPr>
          <w:rFonts w:ascii="Titillium Web" w:hAnsi="Titillium Web"/>
          <w:bCs/>
          <w:sz w:val="20"/>
          <w:szCs w:val="20"/>
        </w:rPr>
        <w:t>, sviluppato dall’Institute for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>Scientific Information (ISI) di Thomson Reuters, che misura il numero medio di citazioni ricevute in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>un particolare anno da articoli pubblicati in una rivista scientifica nei due anni precedenti;</w:t>
      </w:r>
    </w:p>
    <w:p w14:paraId="601BDBA3" w14:textId="77777777" w:rsidR="007724DB" w:rsidRDefault="007724DB" w:rsidP="007724DB">
      <w:pPr>
        <w:jc w:val="both"/>
        <w:rPr>
          <w:rFonts w:ascii="Helvetica" w:hAnsi="Helvetica" w:cs="Helvetica"/>
          <w:color w:val="000000"/>
          <w:sz w:val="22"/>
          <w:szCs w:val="22"/>
        </w:rPr>
      </w:pPr>
    </w:p>
    <w:p w14:paraId="7E98E404" w14:textId="5E835F57" w:rsid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/>
          <w:sz w:val="20"/>
          <w:szCs w:val="20"/>
        </w:rPr>
        <w:t>PRESO ATTO</w:t>
      </w:r>
      <w:r w:rsidRPr="007724DB">
        <w:rPr>
          <w:rFonts w:ascii="Titillium Web" w:hAnsi="Titillium Web"/>
          <w:bCs/>
          <w:sz w:val="20"/>
          <w:szCs w:val="20"/>
        </w:rPr>
        <w:t xml:space="preserve"> che la scelta della rivista è stata effettuata dagli autori della pubblicazione scientifica sulla base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>degli elementi di cui sopra;</w:t>
      </w:r>
    </w:p>
    <w:p w14:paraId="5F0FAE9E" w14:textId="77777777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</w:p>
    <w:p w14:paraId="49D65BFE" w14:textId="4F8E1C23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/>
          <w:sz w:val="20"/>
          <w:szCs w:val="20"/>
        </w:rPr>
        <w:t>CONSIDERATO</w:t>
      </w:r>
      <w:r w:rsidRPr="007724DB">
        <w:rPr>
          <w:rFonts w:ascii="Titillium Web" w:hAnsi="Titillium Web"/>
          <w:bCs/>
          <w:sz w:val="20"/>
          <w:szCs w:val="20"/>
        </w:rPr>
        <w:t xml:space="preserve"> che l’oggetto del contratto risulta essere un servizio di pubblicazione e che le caratteristiche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>dell’esecuzione del servizio risultano essere le seguenti:</w:t>
      </w:r>
    </w:p>
    <w:p w14:paraId="3F93FF68" w14:textId="0472A13C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Cs/>
          <w:sz w:val="20"/>
          <w:szCs w:val="20"/>
        </w:rPr>
        <w:t xml:space="preserve">• Pubblicazione immediata dell’articolo sulla rivista on line ad accesso aperto </w:t>
      </w:r>
    </w:p>
    <w:p w14:paraId="1CAB4C76" w14:textId="19DA5BC9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Cs/>
          <w:sz w:val="20"/>
          <w:szCs w:val="20"/>
        </w:rPr>
        <w:t xml:space="preserve">• Revisione “peer review” </w:t>
      </w:r>
      <w:proofErr w:type="gramStart"/>
      <w:r w:rsidRPr="007724DB">
        <w:rPr>
          <w:rFonts w:ascii="Titillium Web" w:hAnsi="Titillium Web"/>
          <w:bCs/>
          <w:sz w:val="20"/>
          <w:szCs w:val="20"/>
        </w:rPr>
        <w:t>dell’ articolo</w:t>
      </w:r>
      <w:proofErr w:type="gramEnd"/>
      <w:r w:rsidRPr="007724DB">
        <w:rPr>
          <w:rFonts w:ascii="Titillium Web" w:hAnsi="Titillium Web"/>
          <w:bCs/>
          <w:sz w:val="20"/>
          <w:szCs w:val="20"/>
        </w:rPr>
        <w:t xml:space="preserve"> presentato</w:t>
      </w:r>
      <w:r>
        <w:rPr>
          <w:rFonts w:ascii="Titillium Web" w:hAnsi="Titillium Web"/>
          <w:bCs/>
          <w:sz w:val="20"/>
          <w:szCs w:val="20"/>
        </w:rPr>
        <w:t>;</w:t>
      </w:r>
    </w:p>
    <w:p w14:paraId="3FB4EA30" w14:textId="72A11232" w:rsid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Cs/>
          <w:sz w:val="20"/>
          <w:szCs w:val="20"/>
        </w:rPr>
        <w:t xml:space="preserve">• Conservazione del </w:t>
      </w:r>
      <w:proofErr w:type="gramStart"/>
      <w:r w:rsidRPr="007724DB">
        <w:rPr>
          <w:rFonts w:ascii="Titillium Web" w:hAnsi="Titillium Web"/>
          <w:bCs/>
          <w:sz w:val="20"/>
          <w:szCs w:val="20"/>
        </w:rPr>
        <w:t>copyright</w:t>
      </w:r>
      <w:proofErr w:type="gramEnd"/>
      <w:r w:rsidRPr="007724DB">
        <w:rPr>
          <w:rFonts w:ascii="Titillium Web" w:hAnsi="Titillium Web"/>
          <w:bCs/>
          <w:sz w:val="20"/>
          <w:szCs w:val="20"/>
        </w:rPr>
        <w:t xml:space="preserve"> degli autori;</w:t>
      </w:r>
    </w:p>
    <w:p w14:paraId="3C077079" w14:textId="77777777" w:rsidR="007724DB" w:rsidRPr="007724DB" w:rsidRDefault="007724DB" w:rsidP="007724DB">
      <w:pPr>
        <w:jc w:val="both"/>
        <w:rPr>
          <w:rFonts w:ascii="Titillium Web" w:hAnsi="Titillium Web"/>
          <w:bCs/>
          <w:sz w:val="20"/>
          <w:szCs w:val="20"/>
        </w:rPr>
      </w:pPr>
    </w:p>
    <w:p w14:paraId="7B0A04B4" w14:textId="6E5DDEDB" w:rsidR="007724DB" w:rsidRPr="007724DB" w:rsidRDefault="007724DB" w:rsidP="00554926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/>
          <w:sz w:val="20"/>
          <w:szCs w:val="20"/>
        </w:rPr>
        <w:t>RITENUTO</w:t>
      </w:r>
      <w:r w:rsidRPr="007724DB">
        <w:rPr>
          <w:rFonts w:ascii="Titillium Web" w:hAnsi="Titillium Web"/>
          <w:bCs/>
          <w:sz w:val="20"/>
          <w:szCs w:val="20"/>
        </w:rPr>
        <w:t xml:space="preserve"> di affidare la fornitura in oggetto specificata all’operatore economico </w:t>
      </w:r>
      <w:r>
        <w:rPr>
          <w:rFonts w:ascii="Titillium Web" w:hAnsi="Titillium Web"/>
          <w:bCs/>
          <w:sz w:val="20"/>
          <w:szCs w:val="20"/>
        </w:rPr>
        <w:t xml:space="preserve">CCC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Copyright Clarence Center </w:t>
      </w:r>
      <w:proofErr w:type="spell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RightLink</w:t>
      </w:r>
      <w:proofErr w:type="spellEnd"/>
      <w:r w:rsidR="0055492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, </w:t>
      </w:r>
      <w:r w:rsidRPr="007724DB">
        <w:rPr>
          <w:rFonts w:ascii="Titillium Web" w:hAnsi="Titillium Web"/>
          <w:bCs/>
          <w:sz w:val="20"/>
          <w:szCs w:val="20"/>
        </w:rPr>
        <w:t>con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 xml:space="preserve">sede legale </w:t>
      </w:r>
      <w:proofErr w:type="spellStart"/>
      <w:r w:rsidR="00554926" w:rsidRPr="00554926">
        <w:rPr>
          <w:rFonts w:ascii="Titillium Web" w:hAnsi="Titillium Web"/>
          <w:bCs/>
          <w:sz w:val="20"/>
          <w:szCs w:val="20"/>
        </w:rPr>
        <w:t>Rosewood</w:t>
      </w:r>
      <w:proofErr w:type="spellEnd"/>
      <w:r w:rsidR="00554926" w:rsidRPr="00554926">
        <w:rPr>
          <w:rFonts w:ascii="Titillium Web" w:hAnsi="Titillium Web"/>
          <w:bCs/>
          <w:sz w:val="20"/>
          <w:szCs w:val="20"/>
        </w:rPr>
        <w:t xml:space="preserve"> Drive</w:t>
      </w:r>
      <w:r w:rsidR="00554926">
        <w:rPr>
          <w:rFonts w:ascii="Titillium Web" w:hAnsi="Titillium Web"/>
          <w:bCs/>
          <w:sz w:val="20"/>
          <w:szCs w:val="20"/>
        </w:rPr>
        <w:t xml:space="preserve"> 222 – MA01923 –</w:t>
      </w:r>
      <w:r w:rsidRPr="007724DB">
        <w:rPr>
          <w:rFonts w:ascii="Titillium Web" w:hAnsi="Titillium Web"/>
          <w:bCs/>
          <w:sz w:val="20"/>
          <w:szCs w:val="20"/>
        </w:rPr>
        <w:t xml:space="preserve"> </w:t>
      </w:r>
      <w:r w:rsidR="00554926">
        <w:rPr>
          <w:rFonts w:ascii="Titillium Web" w:hAnsi="Titillium Web"/>
          <w:bCs/>
          <w:sz w:val="20"/>
          <w:szCs w:val="20"/>
        </w:rPr>
        <w:t xml:space="preserve">USA </w:t>
      </w:r>
      <w:proofErr w:type="spellStart"/>
      <w:r w:rsidR="00554926">
        <w:rPr>
          <w:rFonts w:ascii="Titillium Web" w:hAnsi="Titillium Web"/>
          <w:bCs/>
          <w:sz w:val="20"/>
          <w:szCs w:val="20"/>
        </w:rPr>
        <w:t>Danvers</w:t>
      </w:r>
      <w:proofErr w:type="spellEnd"/>
      <w:r w:rsidRPr="007724DB">
        <w:rPr>
          <w:rFonts w:ascii="Titillium Web" w:hAnsi="Titillium Web"/>
          <w:bCs/>
          <w:sz w:val="20"/>
          <w:szCs w:val="20"/>
        </w:rPr>
        <w:t>, per un importo contrattuale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 xml:space="preserve">pari ad USD </w:t>
      </w:r>
      <w:r>
        <w:rPr>
          <w:rFonts w:ascii="Titillium Web" w:hAnsi="Titillium Web"/>
          <w:bCs/>
          <w:sz w:val="20"/>
          <w:szCs w:val="20"/>
        </w:rPr>
        <w:t>3750</w:t>
      </w:r>
      <w:r w:rsidRPr="007724DB">
        <w:rPr>
          <w:rFonts w:ascii="Titillium Web" w:hAnsi="Titillium Web"/>
          <w:bCs/>
          <w:sz w:val="20"/>
          <w:szCs w:val="20"/>
        </w:rPr>
        <w:t>, oltre iva di legge per la seguente motivazione:</w:t>
      </w:r>
    </w:p>
    <w:p w14:paraId="3F55F514" w14:textId="5FA7E32B" w:rsidR="006B5C60" w:rsidRPr="007724DB" w:rsidRDefault="007724DB" w:rsidP="00554926">
      <w:pPr>
        <w:jc w:val="both"/>
        <w:rPr>
          <w:rFonts w:ascii="Titillium Web" w:hAnsi="Titillium Web"/>
          <w:bCs/>
          <w:sz w:val="20"/>
          <w:szCs w:val="20"/>
        </w:rPr>
      </w:pPr>
      <w:r w:rsidRPr="007724DB">
        <w:rPr>
          <w:rFonts w:ascii="Titillium Web" w:hAnsi="Titillium Web"/>
          <w:bCs/>
          <w:sz w:val="20"/>
          <w:szCs w:val="20"/>
        </w:rPr>
        <w:t>• l’articolo è stato accettato dalla rivista a fronte della sottomissione da parte degli autori della</w:t>
      </w:r>
      <w:r>
        <w:rPr>
          <w:rFonts w:ascii="Titillium Web" w:hAnsi="Titillium Web"/>
          <w:bCs/>
          <w:sz w:val="20"/>
          <w:szCs w:val="20"/>
        </w:rPr>
        <w:t xml:space="preserve"> </w:t>
      </w:r>
      <w:r w:rsidRPr="007724DB">
        <w:rPr>
          <w:rFonts w:ascii="Titillium Web" w:hAnsi="Titillium Web"/>
          <w:bCs/>
          <w:sz w:val="20"/>
          <w:szCs w:val="20"/>
        </w:rPr>
        <w:t>pubblicazione;</w:t>
      </w:r>
    </w:p>
    <w:p w14:paraId="4701B798" w14:textId="6A4443E5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7DBE6DC7" w14:textId="10F22D90" w:rsidR="006B5C60" w:rsidRPr="006B5C60" w:rsidRDefault="006B5C60" w:rsidP="006B5C6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5C60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B5C60">
        <w:rPr>
          <w:rFonts w:ascii="Titillium Web" w:hAnsi="Titillium Web"/>
          <w:sz w:val="20"/>
          <w:szCs w:val="20"/>
        </w:rPr>
        <w:t>che l’operatore economico ha attestato</w:t>
      </w:r>
      <w:r>
        <w:rPr>
          <w:rFonts w:ascii="Titillium Web" w:hAnsi="Titillium Web"/>
          <w:sz w:val="20"/>
          <w:szCs w:val="20"/>
        </w:rPr>
        <w:t>, mediante dichiarazione</w:t>
      </w:r>
      <w:r w:rsidR="00A92B16">
        <w:rPr>
          <w:rFonts w:ascii="Titillium Web" w:hAnsi="Titillium Web"/>
          <w:sz w:val="20"/>
          <w:szCs w:val="20"/>
        </w:rPr>
        <w:t xml:space="preserve"> sostitutiva</w:t>
      </w:r>
      <w:r>
        <w:rPr>
          <w:rFonts w:ascii="Titillium Web" w:hAnsi="Titillium Web"/>
          <w:sz w:val="20"/>
          <w:szCs w:val="20"/>
        </w:rPr>
        <w:t xml:space="preserve">, </w:t>
      </w:r>
      <w:r w:rsidRPr="006B5C60">
        <w:rPr>
          <w:rFonts w:ascii="Titillium Web" w:hAnsi="Titillium Web"/>
          <w:sz w:val="20"/>
          <w:szCs w:val="20"/>
        </w:rPr>
        <w:t xml:space="preserve"> il possesso dei requisiti di partecipazione e di qualificazione richiesti</w:t>
      </w:r>
      <w:r>
        <w:rPr>
          <w:rFonts w:ascii="Titillium Web" w:hAnsi="Titillium Web"/>
          <w:sz w:val="20"/>
          <w:szCs w:val="20"/>
        </w:rPr>
        <w:t>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41ECC7A8" w14:textId="0A24C15B" w:rsidR="000315F0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33B442BC" w14:textId="77777777" w:rsidR="000315F0" w:rsidRPr="001B493A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D0D554A" w14:textId="613C3F7A" w:rsidR="007724DB" w:rsidRPr="00CB31AE" w:rsidRDefault="007724DB" w:rsidP="007724D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dell’art. 50 co. 1 lett. B) del d.lgs. 36/2023, alla ditta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CCC Copyright Clarence Center </w:t>
      </w:r>
      <w:proofErr w:type="spell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RightLink</w:t>
      </w:r>
      <w:proofErr w:type="spellEnd"/>
      <w:r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ordine diretto extra </w:t>
      </w:r>
      <w:proofErr w:type="spell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mepa</w:t>
      </w:r>
      <w:proofErr w:type="spellEnd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servizio/fornitura in oggetto per un importo di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USD </w:t>
      </w:r>
      <w:proofErr w:type="gram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3750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</w:t>
      </w:r>
      <w:proofErr w:type="gramEnd"/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FCB24CC" w14:textId="77777777" w:rsidR="00DA6016" w:rsidRPr="00DA6016" w:rsidRDefault="00DA6016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58F7B0F" w14:textId="041DCCC8" w:rsidR="00DE5A88" w:rsidRPr="00DE5A88" w:rsidRDefault="000315F0" w:rsidP="00D6416F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sul Progetto </w:t>
      </w:r>
      <w:r w:rsidR="00DE5A88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62EE285E" w14:textId="77777777" w:rsidR="00DE5A88" w:rsidRPr="00A24B8B" w:rsidRDefault="00DE5A88" w:rsidP="0052662D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0645C18B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E45C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9272C" w14:textId="77777777" w:rsidR="009E45C8" w:rsidRDefault="009E45C8" w:rsidP="000151A3">
      <w:r>
        <w:separator/>
      </w:r>
    </w:p>
  </w:endnote>
  <w:endnote w:type="continuationSeparator" w:id="0">
    <w:p w14:paraId="22B5C657" w14:textId="77777777" w:rsidR="009E45C8" w:rsidRDefault="009E45C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A84F4" w14:textId="77777777" w:rsidR="009E45C8" w:rsidRDefault="009E45C8" w:rsidP="000151A3">
      <w:r>
        <w:separator/>
      </w:r>
    </w:p>
  </w:footnote>
  <w:footnote w:type="continuationSeparator" w:id="0">
    <w:p w14:paraId="69059506" w14:textId="77777777" w:rsidR="009E45C8" w:rsidRDefault="009E45C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6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7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67A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1A6E22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978BA"/>
    <w:rsid w:val="003B429A"/>
    <w:rsid w:val="003E33E3"/>
    <w:rsid w:val="00424161"/>
    <w:rsid w:val="00451AD3"/>
    <w:rsid w:val="004841B9"/>
    <w:rsid w:val="0049565D"/>
    <w:rsid w:val="004E7020"/>
    <w:rsid w:val="005237D0"/>
    <w:rsid w:val="0052662D"/>
    <w:rsid w:val="00542205"/>
    <w:rsid w:val="00547E16"/>
    <w:rsid w:val="00554926"/>
    <w:rsid w:val="00572F05"/>
    <w:rsid w:val="005736BE"/>
    <w:rsid w:val="005952E9"/>
    <w:rsid w:val="005E3577"/>
    <w:rsid w:val="00677D54"/>
    <w:rsid w:val="00691AEA"/>
    <w:rsid w:val="00692737"/>
    <w:rsid w:val="006B0A83"/>
    <w:rsid w:val="006B5C60"/>
    <w:rsid w:val="006C2B1F"/>
    <w:rsid w:val="00725B6E"/>
    <w:rsid w:val="00733858"/>
    <w:rsid w:val="0074756F"/>
    <w:rsid w:val="007546D0"/>
    <w:rsid w:val="00763652"/>
    <w:rsid w:val="007724DB"/>
    <w:rsid w:val="007822AE"/>
    <w:rsid w:val="00785883"/>
    <w:rsid w:val="007D6F62"/>
    <w:rsid w:val="00806E33"/>
    <w:rsid w:val="00820DDD"/>
    <w:rsid w:val="00821EFF"/>
    <w:rsid w:val="0083124F"/>
    <w:rsid w:val="00863788"/>
    <w:rsid w:val="00867905"/>
    <w:rsid w:val="00880C06"/>
    <w:rsid w:val="00881A10"/>
    <w:rsid w:val="00891A05"/>
    <w:rsid w:val="008B0FF9"/>
    <w:rsid w:val="008B6F49"/>
    <w:rsid w:val="00926173"/>
    <w:rsid w:val="00931B68"/>
    <w:rsid w:val="00947CBE"/>
    <w:rsid w:val="0097476C"/>
    <w:rsid w:val="009A37AF"/>
    <w:rsid w:val="009C09EC"/>
    <w:rsid w:val="009C5FEC"/>
    <w:rsid w:val="009E35AD"/>
    <w:rsid w:val="009E45C8"/>
    <w:rsid w:val="009F2615"/>
    <w:rsid w:val="00A2353E"/>
    <w:rsid w:val="00A24B8B"/>
    <w:rsid w:val="00A30076"/>
    <w:rsid w:val="00A46A59"/>
    <w:rsid w:val="00A92B16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BF686D"/>
    <w:rsid w:val="00C00BBC"/>
    <w:rsid w:val="00C068E5"/>
    <w:rsid w:val="00C24A80"/>
    <w:rsid w:val="00C24DB6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E5A88"/>
    <w:rsid w:val="00DF6212"/>
    <w:rsid w:val="00DF6D6D"/>
    <w:rsid w:val="00E13BD4"/>
    <w:rsid w:val="00E51C1B"/>
    <w:rsid w:val="00E65733"/>
    <w:rsid w:val="00EE33BE"/>
    <w:rsid w:val="00EF428E"/>
    <w:rsid w:val="00F03BA1"/>
    <w:rsid w:val="00F10F3C"/>
    <w:rsid w:val="00F257F7"/>
    <w:rsid w:val="00F33BD7"/>
    <w:rsid w:val="00F47F79"/>
    <w:rsid w:val="00F87F08"/>
    <w:rsid w:val="00F93D6E"/>
    <w:rsid w:val="00FC658D"/>
    <w:rsid w:val="00FD0D4C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13</cp:revision>
  <cp:lastPrinted>2024-03-26T10:15:00Z</cp:lastPrinted>
  <dcterms:created xsi:type="dcterms:W3CDTF">2024-01-25T16:04:00Z</dcterms:created>
  <dcterms:modified xsi:type="dcterms:W3CDTF">2024-05-20T09:53:00Z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