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14:paraId="3F956893" w14:textId="77777777"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14:paraId="446CB4B1" w14:textId="77777777" w:rsidR="00173F1C" w:rsidRPr="007D41B8" w:rsidRDefault="00173F1C" w:rsidP="00173F1C">
      <w:pPr>
        <w:spacing w:after="0" w:line="240" w:lineRule="auto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Pr="007D41B8" w:rsidRDefault="00173F1C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</w:pPr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Codice progetto MUR: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7D41B8">
        <w:rPr>
          <w:rFonts w:ascii="Titillium Web" w:eastAsia="Times New Roman" w:hAnsi="Titillium Web" w:cs="Calibri"/>
          <w:color w:val="000000"/>
          <w:sz w:val="24"/>
          <w:szCs w:val="24"/>
          <w:lang w:eastAsia="it-IT"/>
        </w:rPr>
        <w:t>- CUP:</w:t>
      </w:r>
      <w:r w:rsidRPr="007D41B8">
        <w:rPr>
          <w:rFonts w:ascii="Titillium Web" w:eastAsia="Times New Roman" w:hAnsi="Titillium Web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6DDBFB43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14:paraId="05FD9F7C" w14:textId="77777777" w:rsidR="00053B07" w:rsidRPr="007D41B8" w:rsidRDefault="00053B07" w:rsidP="00053B07">
      <w:pPr>
        <w:spacing w:after="0" w:line="240" w:lineRule="auto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Iniziativa finanziata dall’Unione europea – </w:t>
      </w:r>
      <w:proofErr w:type="spellStart"/>
      <w:r w:rsidRPr="007D41B8">
        <w:rPr>
          <w:rFonts w:ascii="Titillium Web" w:eastAsia="Times New Roman" w:hAnsi="Titillium Web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NextGenerationEU</w:t>
      </w:r>
      <w:proofErr w:type="spellEnd"/>
    </w:p>
    <w:p w14:paraId="4A7F8587" w14:textId="77777777" w:rsidR="00053B07" w:rsidRPr="007D41B8" w:rsidRDefault="00053B07" w:rsidP="00173F1C">
      <w:pPr>
        <w:spacing w:after="0" w:line="240" w:lineRule="auto"/>
        <w:ind w:left="720" w:hanging="360"/>
        <w:jc w:val="center"/>
        <w:rPr>
          <w:rFonts w:ascii="Titillium Web" w:eastAsia="Times New Roman" w:hAnsi="Titillium Web" w:cs="Calibri"/>
          <w:b/>
          <w:bCs/>
          <w:sz w:val="24"/>
          <w:szCs w:val="24"/>
          <w:lang w:eastAsia="it-IT"/>
        </w:rPr>
      </w:pPr>
    </w:p>
    <w:p w14:paraId="1647F17A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 xml:space="preserve">PNRR </w:t>
      </w:r>
    </w:p>
    <w:p w14:paraId="61079ED3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«ISTRUZIONE E RICERCA»</w:t>
      </w:r>
    </w:p>
    <w:p w14:paraId="7C64E5C2" w14:textId="77777777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Missione 4 Componente 2</w:t>
      </w:r>
    </w:p>
    <w:p w14:paraId="37FA6346" w14:textId="6F66C8E6" w:rsidR="00173F1C" w:rsidRPr="007D41B8" w:rsidRDefault="00173F1C" w:rsidP="00173F1C">
      <w:pPr>
        <w:widowControl w:val="0"/>
        <w:spacing w:after="0" w:line="360" w:lineRule="auto"/>
        <w:jc w:val="center"/>
        <w:rPr>
          <w:rFonts w:ascii="Titillium Web" w:eastAsia="Times New Roman" w:hAnsi="Titillium Web" w:cs="Calibri"/>
          <w:b/>
          <w:sz w:val="24"/>
          <w:szCs w:val="24"/>
        </w:rPr>
      </w:pPr>
      <w:r w:rsidRPr="007D41B8">
        <w:rPr>
          <w:rFonts w:ascii="Titillium Web" w:eastAsia="Times New Roman" w:hAnsi="Titillium Web" w:cs="Calibri"/>
          <w:b/>
          <w:sz w:val="24"/>
          <w:szCs w:val="24"/>
        </w:rPr>
        <w:t>Investimento 1.4</w:t>
      </w:r>
    </w:p>
    <w:p w14:paraId="1BBF479A" w14:textId="77777777" w:rsidR="00173F1C" w:rsidRPr="007D41B8" w:rsidRDefault="00173F1C" w:rsidP="00173F1C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D41B8" w:rsidRDefault="00173F1C" w:rsidP="00740197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  <w:r w:rsidRPr="007D41B8">
        <w:rPr>
          <w:rFonts w:ascii="Titillium Web" w:hAnsi="Titillium Web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>AVVISO DI INDAGINE DI MERCATO</w:t>
      </w:r>
    </w:p>
    <w:p w14:paraId="074A269D" w14:textId="06B7E494" w:rsidR="007D3DC3" w:rsidRPr="007D41B8" w:rsidRDefault="007D41B8" w:rsidP="007D41B8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  <w:r>
        <w:rPr>
          <w:rFonts w:ascii="Titillium Web" w:eastAsia="Lucida Sans Unicode" w:hAnsi="Titillium Web"/>
          <w:b/>
          <w:w w:val="85"/>
          <w:sz w:val="28"/>
          <w:szCs w:val="28"/>
        </w:rPr>
        <w:t>n.4</w:t>
      </w:r>
      <w:r w:rsidR="00053B07" w:rsidRPr="007D41B8">
        <w:rPr>
          <w:rFonts w:ascii="Titillium Web" w:eastAsia="Lucida Sans Unicode" w:hAnsi="Titillium Web"/>
          <w:b/>
          <w:w w:val="85"/>
          <w:sz w:val="28"/>
          <w:szCs w:val="28"/>
        </w:rPr>
        <w:t>/2024</w:t>
      </w:r>
    </w:p>
    <w:p w14:paraId="7375D1AF" w14:textId="0DE0DE2C" w:rsidR="00173F1C" w:rsidRPr="007D41B8" w:rsidRDefault="007D3DC3" w:rsidP="007D41B8">
      <w:pPr>
        <w:pStyle w:val="paragraph"/>
        <w:spacing w:after="0"/>
        <w:jc w:val="both"/>
        <w:textAlignment w:val="baseline"/>
        <w:rPr>
          <w:rFonts w:ascii="Titillium" w:hAnsi="Titillium" w:cs="Calibri"/>
          <w:b/>
        </w:rPr>
      </w:pPr>
      <w:r w:rsidRPr="007D41B8">
        <w:rPr>
          <w:rFonts w:ascii="Titillium Web" w:eastAsia="Lucida Sans Unicode" w:hAnsi="Titillium Web"/>
          <w:b/>
          <w:w w:val="85"/>
          <w:sz w:val="28"/>
          <w:szCs w:val="28"/>
        </w:rPr>
        <w:t xml:space="preserve">OGGETTO: </w:t>
      </w:r>
      <w:bookmarkStart w:id="1" w:name="_Hlk147390928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 xml:space="preserve">INDAGINE DI MERCATO FINALIZZATA AD INDIVIDUARE </w:t>
      </w:r>
      <w:bookmarkEnd w:id="1"/>
      <w:r w:rsidR="007D41B8" w:rsidRPr="007D41B8">
        <w:rPr>
          <w:rFonts w:ascii="Titillium Web" w:hAnsi="Titillium Web" w:cs="Open Sans"/>
          <w:b/>
          <w:bCs/>
          <w:color w:val="000000"/>
          <w:shd w:val="clear" w:color="auto" w:fill="FFFFFF"/>
        </w:rPr>
        <w:t>GLI OPERATORI ECONOMICI DA INVITARE ALLA SUCCESSIVA PROCEDURA NEGOZIATA SENZA BANDO EX ART. 50 COMMA 1 LETT. E) DEL D.L.GS N. 36/2023 PER LA “</w:t>
      </w:r>
      <w:r w:rsidR="007D41B8" w:rsidRPr="007D41B8">
        <w:rPr>
          <w:rFonts w:ascii="Titillium" w:hAnsi="Titillium" w:cs="Calibri"/>
          <w:b/>
          <w:bCs/>
        </w:rPr>
        <w:t>FORNITURA DI SOFTWARE</w:t>
      </w:r>
      <w:r w:rsidR="007D41B8" w:rsidRPr="007D41B8">
        <w:rPr>
          <w:rFonts w:ascii="Titillium" w:hAnsi="Titillium" w:cs="Calibri"/>
          <w:b/>
        </w:rPr>
        <w:t xml:space="preserve"> DEL LABORATORIO PHARMATECH-XR, A SERVIZIO DELLA PHARMATECH ACADEMY".</w:t>
      </w:r>
    </w:p>
    <w:p w14:paraId="2A67AF35" w14:textId="3FBBADDC" w:rsidR="007D3DC3" w:rsidRPr="007D41B8" w:rsidRDefault="007D3DC3" w:rsidP="00173F1C">
      <w:pPr>
        <w:widowControl w:val="0"/>
        <w:autoSpaceDE w:val="0"/>
        <w:autoSpaceDN w:val="0"/>
        <w:spacing w:after="0"/>
        <w:jc w:val="both"/>
        <w:rPr>
          <w:rFonts w:ascii="Titillium Web" w:eastAsia="Lucida Sans Unicode" w:hAnsi="Titillium Web"/>
          <w:w w:val="9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sottoscritto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4"/>
          <w:w w:val="7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75"/>
          <w:sz w:val="24"/>
          <w:szCs w:val="24"/>
        </w:rPr>
        <w:t>C.F.</w:t>
      </w:r>
      <w:r w:rsidRPr="007D41B8">
        <w:rPr>
          <w:rFonts w:ascii="Titillium Web" w:eastAsia="Lucida Sans Unicode" w:hAnsi="Titillium Web"/>
          <w:w w:val="7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nato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a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il</w:t>
      </w:r>
      <w:r w:rsidRPr="007D41B8">
        <w:rPr>
          <w:rFonts w:ascii="Titillium Web" w:eastAsia="Lucida Sans Unicode" w:hAnsi="Titillium Web"/>
          <w:w w:val="85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-9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domiciliato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per</w:t>
      </w:r>
      <w:r w:rsidRPr="007D41B8">
        <w:rPr>
          <w:rFonts w:ascii="Titillium Web" w:eastAsia="Lucida Sans Unicode" w:hAnsi="Titillium Web"/>
          <w:spacing w:val="-8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carica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presso</w:t>
      </w:r>
      <w:r w:rsidRPr="007D41B8">
        <w:rPr>
          <w:rFonts w:ascii="Titillium Web" w:eastAsia="Lucida Sans Unicode" w:hAnsi="Titillium Web"/>
          <w:spacing w:val="-11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la</w:t>
      </w:r>
      <w:r w:rsidRPr="007D41B8">
        <w:rPr>
          <w:rFonts w:ascii="Titillium Web" w:eastAsia="Lucida Sans Unicode" w:hAnsi="Titillium Web"/>
          <w:spacing w:val="-10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-4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societaria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ove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appresso,</w:t>
      </w:r>
      <w:r w:rsidRPr="007D41B8">
        <w:rPr>
          <w:rFonts w:ascii="Titillium Web" w:eastAsia="Lucida Sans Unicode" w:hAnsi="Titillium Web"/>
          <w:spacing w:val="29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nella</w:t>
      </w:r>
      <w:r w:rsidRPr="007D41B8">
        <w:rPr>
          <w:rFonts w:ascii="Titillium Web" w:eastAsia="Lucida Sans Unicode" w:hAnsi="Titillium Web"/>
          <w:spacing w:val="28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sua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qualità</w:t>
      </w:r>
      <w:r w:rsidRPr="007D41B8">
        <w:rPr>
          <w:rFonts w:ascii="Titillium Web" w:eastAsia="Lucida Sans Unicode" w:hAnsi="Titillium Web"/>
          <w:spacing w:val="30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di</w:t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  <w:u w:val="single"/>
        </w:rPr>
        <w:tab/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legale</w:t>
      </w:r>
      <w:r w:rsidRPr="007D41B8">
        <w:rPr>
          <w:rFonts w:ascii="Titillium Web" w:eastAsia="Lucida Sans Unicode" w:hAnsi="Titillium Web"/>
          <w:spacing w:val="31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rappresentante</w:t>
      </w:r>
      <w:r w:rsidRPr="007D41B8">
        <w:rPr>
          <w:rFonts w:ascii="Titillium Web" w:eastAsia="Lucida Sans Unicode" w:hAnsi="Titillium Web"/>
          <w:spacing w:val="32"/>
          <w:w w:val="90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0"/>
          <w:sz w:val="24"/>
          <w:szCs w:val="24"/>
        </w:rPr>
        <w:t>della___________________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con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sede</w:t>
      </w:r>
      <w:r w:rsidRPr="007D41B8">
        <w:rPr>
          <w:rFonts w:ascii="Titillium Web" w:eastAsia="Lucida Sans Unicode" w:hAnsi="Titillium Web"/>
          <w:spacing w:val="14"/>
          <w:w w:val="9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in____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ab/>
        <w:t>via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</w:p>
    <w:p w14:paraId="66B93AF3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</w:t>
      </w:r>
      <w:proofErr w:type="gramStart"/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</w:t>
      </w:r>
      <w:proofErr w:type="gramEnd"/>
      <w:r w:rsidRPr="007D41B8">
        <w:rPr>
          <w:rFonts w:ascii="Titillium Web" w:eastAsia="Lucida Sans Unicode" w:hAnsi="Titillium Web"/>
          <w:w w:val="95"/>
          <w:sz w:val="24"/>
          <w:szCs w:val="24"/>
        </w:rPr>
        <w:t>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14:paraId="6B176D0B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</w:t>
      </w:r>
      <w:r w:rsidRPr="007D41B8">
        <w:rPr>
          <w:rFonts w:ascii="Titillium Web" w:eastAsia="Lucida Sans Unicode" w:hAnsi="Titillium Web"/>
          <w:spacing w:val="13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referente</w:t>
      </w:r>
      <w:r w:rsidRPr="007D41B8">
        <w:rPr>
          <w:rFonts w:ascii="Titillium Web" w:eastAsia="Lucida Sans Unicode" w:hAnsi="Titillium Web"/>
          <w:spacing w:val="-17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14:paraId="7CDB384E" w14:textId="06699A8F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seguito</w:t>
      </w:r>
      <w:r w:rsidRPr="007D41B8">
        <w:rPr>
          <w:rFonts w:ascii="Titillium Web" w:eastAsia="Lucida Sans Unicode" w:hAnsi="Titillium Web"/>
          <w:spacing w:val="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denominata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</w:t>
      </w:r>
      <w:r w:rsidR="001B10AD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5EBB7375" w14:textId="5EBD44C8"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lastRenderedPageBreak/>
        <w:t>MANIFESTA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Pr="007D41B8">
        <w:rPr>
          <w:rFonts w:ascii="Titillium Web" w:hAnsi="Titillium Web"/>
          <w:b/>
          <w:spacing w:val="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  <w:r w:rsidRPr="007D41B8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4"/>
          <w:w w:val="90"/>
          <w:sz w:val="24"/>
          <w:szCs w:val="24"/>
        </w:rPr>
        <w:t>E DI VOLER ESSERE INVITATO PER: (</w:t>
      </w:r>
      <w:r w:rsidR="007D41B8" w:rsidRPr="007D41B8">
        <w:rPr>
          <w:rFonts w:ascii="Titillium Web" w:hAnsi="Titillium Web"/>
          <w:spacing w:val="4"/>
          <w:w w:val="90"/>
          <w:sz w:val="24"/>
          <w:szCs w:val="24"/>
          <w:highlight w:val="yellow"/>
        </w:rPr>
        <w:t>barrare una delle opzioni</w:t>
      </w:r>
      <w:r w:rsidR="007D41B8">
        <w:rPr>
          <w:rFonts w:ascii="Titillium Web" w:hAnsi="Titillium Web"/>
          <w:b/>
          <w:spacing w:val="4"/>
          <w:w w:val="90"/>
          <w:sz w:val="24"/>
          <w:szCs w:val="24"/>
        </w:rPr>
        <w:t>)</w:t>
      </w:r>
    </w:p>
    <w:p w14:paraId="0E7400B0" w14:textId="02E410EE" w:rsidR="007D41B8" w:rsidRPr="007D41B8" w:rsidRDefault="007D41B8" w:rsidP="007D41B8">
      <w:pPr>
        <w:pStyle w:val="Paragrafoelenco"/>
        <w:numPr>
          <w:ilvl w:val="0"/>
          <w:numId w:val="20"/>
        </w:num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>
        <w:rPr>
          <w:rFonts w:ascii="Titillium Web" w:hAnsi="Titillium Web"/>
          <w:b/>
          <w:spacing w:val="4"/>
          <w:w w:val="90"/>
          <w:sz w:val="24"/>
          <w:szCs w:val="24"/>
        </w:rPr>
        <w:t xml:space="preserve">Entrambi i lotti ovvero: </w:t>
      </w:r>
      <w:proofErr w:type="spellStart"/>
      <w:r w:rsidRPr="007D41B8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</w:rPr>
        <w:t>PharmaTech</w:t>
      </w:r>
      <w:proofErr w:type="spellEnd"/>
      <w:r w:rsidRPr="007D41B8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</w:rPr>
        <w:t xml:space="preserve">-VR e </w:t>
      </w:r>
      <w:proofErr w:type="spellStart"/>
      <w:r w:rsidRPr="007D41B8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</w:rPr>
        <w:t>PharmaTech</w:t>
      </w:r>
      <w:proofErr w:type="spellEnd"/>
      <w:r w:rsidRPr="007D41B8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</w:rPr>
        <w:t>-AR</w:t>
      </w:r>
      <w:r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</w:rPr>
        <w:t>;</w:t>
      </w:r>
    </w:p>
    <w:p w14:paraId="026A392E" w14:textId="20E00446" w:rsidR="007D41B8" w:rsidRDefault="007D41B8" w:rsidP="007D41B8">
      <w:pPr>
        <w:pStyle w:val="Paragrafoelenco"/>
        <w:numPr>
          <w:ilvl w:val="0"/>
          <w:numId w:val="20"/>
        </w:num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proofErr w:type="spellStart"/>
      <w:r w:rsidRPr="007D41B8">
        <w:rPr>
          <w:rFonts w:ascii="Titillium Web" w:hAnsi="Titillium Web"/>
          <w:b/>
          <w:bCs/>
          <w:spacing w:val="4"/>
          <w:w w:val="90"/>
          <w:sz w:val="24"/>
          <w:szCs w:val="24"/>
        </w:rPr>
        <w:t>PharmaTech</w:t>
      </w:r>
      <w:proofErr w:type="spellEnd"/>
      <w:r w:rsidRPr="007D41B8">
        <w:rPr>
          <w:rFonts w:ascii="Titillium Web" w:hAnsi="Titillium Web"/>
          <w:b/>
          <w:bCs/>
          <w:spacing w:val="4"/>
          <w:w w:val="90"/>
          <w:sz w:val="24"/>
          <w:szCs w:val="24"/>
        </w:rPr>
        <w:t xml:space="preserve">-VR </w:t>
      </w:r>
      <w:r>
        <w:rPr>
          <w:rFonts w:ascii="Titillium Web" w:hAnsi="Titillium Web"/>
          <w:b/>
          <w:spacing w:val="4"/>
          <w:w w:val="90"/>
          <w:sz w:val="24"/>
          <w:szCs w:val="24"/>
        </w:rPr>
        <w:t xml:space="preserve">Lotto 1 </w:t>
      </w:r>
    </w:p>
    <w:p w14:paraId="2723CAEB" w14:textId="37312C31" w:rsidR="007D41B8" w:rsidRPr="007D41B8" w:rsidRDefault="007D41B8" w:rsidP="007D41B8">
      <w:pPr>
        <w:pStyle w:val="Paragrafoelenco"/>
        <w:numPr>
          <w:ilvl w:val="0"/>
          <w:numId w:val="20"/>
        </w:num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proofErr w:type="spellStart"/>
      <w:r w:rsidRPr="007D41B8">
        <w:rPr>
          <w:rFonts w:ascii="Titillium Web" w:hAnsi="Titillium Web"/>
          <w:b/>
          <w:bCs/>
          <w:spacing w:val="4"/>
          <w:w w:val="90"/>
          <w:sz w:val="24"/>
          <w:szCs w:val="24"/>
        </w:rPr>
        <w:t>PharmaTech</w:t>
      </w:r>
      <w:proofErr w:type="spellEnd"/>
      <w:r w:rsidRPr="007D41B8">
        <w:rPr>
          <w:rFonts w:ascii="Titillium Web" w:hAnsi="Titillium Web"/>
          <w:b/>
          <w:bCs/>
          <w:spacing w:val="4"/>
          <w:w w:val="90"/>
          <w:sz w:val="24"/>
          <w:szCs w:val="24"/>
        </w:rPr>
        <w:t>-AR</w:t>
      </w:r>
      <w:r>
        <w:rPr>
          <w:rFonts w:ascii="Titillium Web" w:hAnsi="Titillium Web"/>
          <w:b/>
          <w:bCs/>
          <w:spacing w:val="4"/>
          <w:w w:val="90"/>
          <w:sz w:val="24"/>
          <w:szCs w:val="24"/>
        </w:rPr>
        <w:t xml:space="preserve"> Lotto 2</w:t>
      </w:r>
    </w:p>
    <w:p w14:paraId="24563692" w14:textId="584948A0"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ED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TAL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  <w:r w:rsidRP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  </w:t>
      </w:r>
    </w:p>
    <w:p w14:paraId="441B1A31" w14:textId="10566DB5"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Pr="007D41B8">
        <w:rPr>
          <w:rFonts w:ascii="Titillium Web" w:hAnsi="Titillium Web"/>
          <w:b/>
          <w:spacing w:val="-8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-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14:paraId="5EC89062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proofErr w:type="gramStart"/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preso</w:t>
      </w:r>
      <w:proofErr w:type="gramEnd"/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 w:rsidRPr="007D41B8">
        <w:rPr>
          <w:rFonts w:ascii="Titillium Web" w:eastAsia="MS Mincho" w:hAnsi="Titillium Web"/>
          <w:spacing w:val="9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 w:rsidRPr="007D41B8">
        <w:rPr>
          <w:rFonts w:ascii="Titillium Web" w:eastAsia="MS Mincho" w:hAnsi="Titillium Web"/>
          <w:spacing w:val="-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possesso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dei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requisiti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previsti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dall’avviso</w:t>
      </w:r>
      <w:r w:rsidRPr="007D41B8">
        <w:rPr>
          <w:rFonts w:ascii="Titillium Web" w:eastAsia="MS Mincho" w:hAnsi="Titillium Web"/>
          <w:spacing w:val="7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esplorativo, come</w:t>
      </w:r>
      <w:r w:rsidRPr="007D41B8">
        <w:rPr>
          <w:rFonts w:ascii="Titillium Web" w:eastAsia="MS Mincho" w:hAnsi="Titillium Web"/>
          <w:spacing w:val="-3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seguito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meglio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14:paraId="189552F7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14:paraId="339C9CC8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41B8">
        <w:rPr>
          <w:rFonts w:ascii="Titillium Web" w:hAnsi="Titillium Web"/>
          <w:color w:val="000000"/>
        </w:rPr>
        <w:t xml:space="preserve"> </w:t>
      </w:r>
      <w:r w:rsidRPr="007D41B8">
        <w:rPr>
          <w:rFonts w:ascii="Titillium Web" w:hAnsi="Titillium Web"/>
          <w:b/>
          <w:color w:val="000000"/>
        </w:rPr>
        <w:t xml:space="preserve">lett. </w:t>
      </w:r>
      <w:proofErr w:type="gramStart"/>
      <w:r w:rsidRPr="007D41B8">
        <w:rPr>
          <w:rFonts w:ascii="Titillium Web" w:hAnsi="Titillium Web"/>
          <w:b/>
          <w:color w:val="000000"/>
        </w:rPr>
        <w:t>b)D.L.gs</w:t>
      </w:r>
      <w:proofErr w:type="gramEnd"/>
      <w:r w:rsidRPr="007D41B8">
        <w:rPr>
          <w:rFonts w:ascii="Titillium Web" w:hAnsi="Titillium Web"/>
          <w:b/>
          <w:color w:val="000000"/>
        </w:rPr>
        <w:t xml:space="preserve"> n.36/23;</w:t>
      </w:r>
    </w:p>
    <w:p w14:paraId="5BDD5840" w14:textId="77777777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14:paraId="7B6BB5C1" w14:textId="040819AA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bookmarkStart w:id="2" w:name="_GoBack"/>
      <w:bookmarkEnd w:id="2"/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14:paraId="2973EF6A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41B8">
        <w:rPr>
          <w:rFonts w:ascii="Titillium Web" w:hAnsi="Titillium Web"/>
          <w:color w:val="000000"/>
        </w:rPr>
        <w:t>D.Lgs</w:t>
      </w:r>
      <w:proofErr w:type="spellEnd"/>
      <w:r w:rsidRPr="007D41B8">
        <w:rPr>
          <w:rFonts w:ascii="Titillium Web" w:hAnsi="Titillium Web"/>
          <w:color w:val="000000"/>
        </w:rPr>
        <w:t xml:space="preserve"> n.36/23</w:t>
      </w:r>
    </w:p>
    <w:p w14:paraId="5FB47545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14:paraId="2903C80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14:paraId="1B4F89C7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  <w:lang w:val="en-US"/>
        </w:rPr>
        <w:t xml:space="preserve">di non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essere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tenuto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all’osservanza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normativa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sul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lavoro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delle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persone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con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disabilità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in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quanto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la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società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occupa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un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numero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di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dipendenti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</w:t>
      </w:r>
      <w:proofErr w:type="spellStart"/>
      <w:r w:rsidRPr="007D41B8">
        <w:rPr>
          <w:rFonts w:ascii="Titillium Web" w:hAnsi="Titillium Web"/>
          <w:color w:val="000000"/>
          <w:lang w:val="en-US"/>
        </w:rPr>
        <w:t>inferiore</w:t>
      </w:r>
      <w:proofErr w:type="spellEnd"/>
      <w:r w:rsidRPr="007D41B8">
        <w:rPr>
          <w:rFonts w:ascii="Titillium Web" w:hAnsi="Titillium Web"/>
          <w:color w:val="000000"/>
          <w:lang w:val="en-US"/>
        </w:rPr>
        <w:t xml:space="preserve"> a 15.</w:t>
      </w:r>
    </w:p>
    <w:p w14:paraId="2D4512F6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lastRenderedPageBreak/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41B8">
        <w:rPr>
          <w:rFonts w:ascii="Titillium Web" w:hAnsi="Titillium Web"/>
          <w:color w:val="000000"/>
          <w:lang w:val="en-US"/>
        </w:rPr>
        <w:t xml:space="preserve"> </w:t>
      </w:r>
      <w:r w:rsidRPr="007D41B8">
        <w:rPr>
          <w:rFonts w:ascii="Titillium Web" w:hAnsi="Titillium Web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14:paraId="5C2E35B0" w14:textId="1E4612EF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proofErr w:type="gramStart"/>
      <w:r w:rsidRPr="007D41B8">
        <w:rPr>
          <w:rFonts w:ascii="Titillium Web" w:hAnsi="Titillium Web"/>
          <w:color w:val="000000"/>
        </w:rPr>
        <w:t>che</w:t>
      </w:r>
      <w:proofErr w:type="gramEnd"/>
      <w:r w:rsidRPr="007D41B8">
        <w:rPr>
          <w:rFonts w:ascii="Titillium Web" w:hAnsi="Titillium Web"/>
          <w:color w:val="000000"/>
        </w:rPr>
        <w:t xml:space="preserve"> questa impresa è abilitata al Mercato Elettronico della PA di CONSIP S.p.A. (</w:t>
      </w:r>
      <w:proofErr w:type="spellStart"/>
      <w:r w:rsidRPr="007D41B8">
        <w:rPr>
          <w:rFonts w:ascii="Titillium Web" w:hAnsi="Titillium Web"/>
          <w:color w:val="000000"/>
        </w:rPr>
        <w:t>MePA</w:t>
      </w:r>
      <w:proofErr w:type="spellEnd"/>
      <w:r w:rsidRPr="007D41B8">
        <w:rPr>
          <w:rFonts w:ascii="Titillium Web" w:hAnsi="Titillium Web"/>
          <w:color w:val="000000"/>
        </w:rPr>
        <w:t xml:space="preserve">) </w:t>
      </w:r>
    </w:p>
    <w:p w14:paraId="73CE935A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6F7CB8B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4F9E68E" w14:textId="77777777" w:rsidR="00553DEB" w:rsidRPr="007D41B8" w:rsidRDefault="00553DEB" w:rsidP="00553DEB">
      <w:pPr>
        <w:rPr>
          <w:rFonts w:ascii="Titillium Web" w:hAnsi="Titillium Web"/>
          <w:b/>
        </w:rPr>
      </w:pPr>
    </w:p>
    <w:p w14:paraId="502645EC" w14:textId="131A6D57"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5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29</cp:revision>
  <cp:lastPrinted>2018-03-07T07:10:00Z</cp:lastPrinted>
  <dcterms:created xsi:type="dcterms:W3CDTF">2023-08-30T09:48:00Z</dcterms:created>
  <dcterms:modified xsi:type="dcterms:W3CDTF">2024-04-11T11:35:00Z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