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DB29" w14:textId="77777777" w:rsidR="00C041A6" w:rsidRPr="00384891" w:rsidRDefault="00C041A6" w:rsidP="00C041A6">
      <w:pPr>
        <w:spacing w:after="0"/>
        <w:jc w:val="center"/>
        <w:rPr>
          <w:rFonts w:ascii="Titillium Web" w:eastAsia="Times New Roman" w:hAnsi="Titillium Web" w:cstheme="minorHAnsi"/>
          <w:b/>
          <w:color w:val="000000"/>
          <w:sz w:val="24"/>
          <w:szCs w:val="24"/>
          <w:lang w:eastAsia="it-IT"/>
        </w:rPr>
      </w:pPr>
      <w:r w:rsidRPr="00384891">
        <w:rPr>
          <w:rFonts w:ascii="Titillium Web" w:eastAsia="Times New Roman" w:hAnsi="Titillium Web" w:cstheme="minorHAnsi"/>
          <w:b/>
          <w:color w:val="000000"/>
          <w:sz w:val="24"/>
          <w:szCs w:val="24"/>
          <w:lang w:eastAsia="it-IT"/>
        </w:rPr>
        <w:t>PIANO NAZIONALE DI RIPRESA E RESILIENZA (PNRR)</w:t>
      </w:r>
    </w:p>
    <w:p w14:paraId="3618AA35" w14:textId="77777777" w:rsidR="00C041A6" w:rsidRPr="00384891" w:rsidRDefault="00C041A6" w:rsidP="00C041A6">
      <w:pPr>
        <w:spacing w:after="0"/>
        <w:jc w:val="center"/>
        <w:rPr>
          <w:rFonts w:ascii="Titillium Web" w:eastAsia="Times New Roman" w:hAnsi="Titillium Web" w:cstheme="minorHAnsi"/>
          <w:b/>
          <w:color w:val="000000"/>
          <w:sz w:val="24"/>
          <w:szCs w:val="24"/>
          <w:lang w:eastAsia="it-IT"/>
        </w:rPr>
      </w:pPr>
      <w:r w:rsidRPr="00384891">
        <w:rPr>
          <w:rFonts w:ascii="Titillium Web" w:eastAsia="Times New Roman" w:hAnsi="Titillium Web" w:cstheme="minorHAnsi"/>
          <w:b/>
          <w:color w:val="000000"/>
          <w:sz w:val="24"/>
          <w:szCs w:val="24"/>
          <w:lang w:eastAsia="it-IT"/>
        </w:rPr>
        <w:t xml:space="preserve">MISSIONE 4 “Istruzione e Ricerca” COMPONENTE 2 “Dalla ricerca all’impresa” INVESTIMENTO </w:t>
      </w:r>
      <w:r>
        <w:rPr>
          <w:rFonts w:ascii="Titillium Web" w:eastAsia="Times New Roman" w:hAnsi="Titillium Web" w:cstheme="minorHAnsi"/>
          <w:b/>
          <w:color w:val="000000"/>
          <w:sz w:val="24"/>
          <w:szCs w:val="24"/>
          <w:lang w:eastAsia="it-IT"/>
        </w:rPr>
        <w:t>1.4</w:t>
      </w:r>
      <w:r w:rsidRPr="00384891">
        <w:rPr>
          <w:rFonts w:ascii="Titillium Web" w:eastAsia="Times New Roman" w:hAnsi="Titillium Web" w:cstheme="minorHAnsi"/>
          <w:b/>
          <w:color w:val="000000"/>
          <w:sz w:val="24"/>
          <w:szCs w:val="24"/>
          <w:lang w:eastAsia="it-IT"/>
        </w:rPr>
        <w:t xml:space="preserve"> “</w:t>
      </w:r>
      <w:r>
        <w:rPr>
          <w:rFonts w:ascii="Titillium Web" w:eastAsia="Times New Roman" w:hAnsi="Titillium Web" w:cstheme="minorHAnsi"/>
          <w:b/>
          <w:color w:val="000000"/>
          <w:sz w:val="24"/>
          <w:szCs w:val="24"/>
          <w:lang w:eastAsia="it-IT"/>
        </w:rPr>
        <w:t>CENTRI NAZIONALI</w:t>
      </w:r>
      <w:r w:rsidRPr="00384891">
        <w:rPr>
          <w:rFonts w:ascii="Titillium Web" w:eastAsia="Times New Roman" w:hAnsi="Titillium Web" w:cstheme="minorHAnsi"/>
          <w:b/>
          <w:color w:val="000000"/>
          <w:sz w:val="24"/>
          <w:szCs w:val="24"/>
          <w:lang w:eastAsia="it-IT"/>
        </w:rPr>
        <w:t xml:space="preserve">” </w:t>
      </w:r>
    </w:p>
    <w:p w14:paraId="6B4685D3" w14:textId="77777777" w:rsidR="00C041A6" w:rsidRPr="00384891" w:rsidRDefault="00C041A6" w:rsidP="00C041A6">
      <w:pPr>
        <w:spacing w:after="0"/>
        <w:jc w:val="center"/>
        <w:rPr>
          <w:rFonts w:ascii="Titillium Web" w:eastAsia="Times New Roman" w:hAnsi="Titillium Web" w:cstheme="minorHAnsi"/>
          <w:b/>
          <w:color w:val="000000"/>
          <w:sz w:val="24"/>
          <w:szCs w:val="24"/>
          <w:lang w:eastAsia="it-IT"/>
        </w:rPr>
      </w:pPr>
      <w:r w:rsidRPr="00384891">
        <w:rPr>
          <w:rFonts w:ascii="Titillium Web" w:eastAsia="Times New Roman" w:hAnsi="Titillium Web" w:cstheme="minorHAnsi"/>
          <w:b/>
          <w:color w:val="000000"/>
          <w:sz w:val="24"/>
          <w:szCs w:val="24"/>
          <w:lang w:eastAsia="it-IT"/>
        </w:rPr>
        <w:t>Finanziato dall’Unione Europea - NexGenerationEU</w:t>
      </w:r>
    </w:p>
    <w:p w14:paraId="0B88CFF0" w14:textId="77777777" w:rsidR="00C041A6" w:rsidRPr="00794496" w:rsidRDefault="00C041A6" w:rsidP="00C041A6">
      <w:pPr>
        <w:spacing w:after="0"/>
        <w:jc w:val="center"/>
        <w:rPr>
          <w:rFonts w:ascii="Titillium Web" w:eastAsia="Times New Roman" w:hAnsi="Titillium Web" w:cstheme="minorBidi"/>
          <w:b/>
          <w:bCs/>
          <w:color w:val="000000"/>
          <w:sz w:val="24"/>
          <w:szCs w:val="24"/>
          <w:lang w:eastAsia="it-IT"/>
        </w:rPr>
      </w:pPr>
    </w:p>
    <w:p w14:paraId="1A9DED67" w14:textId="77777777" w:rsidR="00C041A6" w:rsidRPr="00F10903" w:rsidRDefault="00C041A6" w:rsidP="00C041A6">
      <w:pPr>
        <w:spacing w:after="0"/>
        <w:jc w:val="center"/>
        <w:rPr>
          <w:rFonts w:ascii="Titillium Web" w:eastAsia="Times New Roman" w:hAnsi="Titillium Web" w:cstheme="minorHAnsi"/>
          <w:b/>
          <w:color w:val="000000"/>
          <w:sz w:val="24"/>
          <w:szCs w:val="24"/>
          <w:lang w:eastAsia="it-IT"/>
        </w:rPr>
      </w:pPr>
      <w:r>
        <w:rPr>
          <w:rFonts w:ascii="Titillium Web" w:eastAsia="Times New Roman" w:hAnsi="Titillium Web" w:cstheme="minorHAnsi"/>
          <w:b/>
          <w:color w:val="000000"/>
          <w:sz w:val="24"/>
          <w:szCs w:val="24"/>
          <w:lang w:eastAsia="it-IT"/>
        </w:rPr>
        <w:t xml:space="preserve">Centro Nazionale </w:t>
      </w:r>
      <w:r w:rsidRPr="00F10903">
        <w:rPr>
          <w:rFonts w:ascii="Titillium Web" w:eastAsia="Times New Roman" w:hAnsi="Titillium Web" w:cstheme="minorHAnsi"/>
          <w:b/>
          <w:color w:val="000000"/>
          <w:sz w:val="24"/>
          <w:szCs w:val="24"/>
          <w:lang w:eastAsia="it-IT"/>
        </w:rPr>
        <w:t xml:space="preserve">”National Biodiversity Future Center” </w:t>
      </w:r>
    </w:p>
    <w:p w14:paraId="37A93946" w14:textId="77777777" w:rsidR="00C041A6" w:rsidRPr="00F10903" w:rsidRDefault="00C041A6" w:rsidP="00C041A6">
      <w:pPr>
        <w:spacing w:after="0"/>
        <w:jc w:val="center"/>
        <w:rPr>
          <w:rFonts w:ascii="Titillium Web" w:eastAsia="Times New Roman" w:hAnsi="Titillium Web" w:cstheme="minorHAnsi"/>
          <w:b/>
          <w:color w:val="000000"/>
          <w:sz w:val="24"/>
          <w:szCs w:val="24"/>
          <w:lang w:eastAsia="it-IT"/>
        </w:rPr>
      </w:pPr>
      <w:r w:rsidRPr="00F10903">
        <w:rPr>
          <w:rFonts w:ascii="Titillium Web" w:eastAsia="Times New Roman" w:hAnsi="Titillium Web" w:cstheme="minorHAnsi"/>
          <w:b/>
          <w:color w:val="000000"/>
          <w:sz w:val="24"/>
          <w:szCs w:val="24"/>
          <w:lang w:eastAsia="it-IT"/>
        </w:rPr>
        <w:t xml:space="preserve">codice progetto MUR CN0000033 - CUP </w:t>
      </w:r>
      <w:r>
        <w:rPr>
          <w:rFonts w:ascii="Titillium Web" w:eastAsia="Times New Roman" w:hAnsi="Titillium Web" w:cstheme="minorHAnsi"/>
          <w:b/>
          <w:color w:val="000000"/>
          <w:sz w:val="24"/>
          <w:szCs w:val="24"/>
          <w:lang w:eastAsia="it-IT"/>
        </w:rPr>
        <w:t xml:space="preserve">UNINA </w:t>
      </w:r>
      <w:r w:rsidRPr="00F10903">
        <w:rPr>
          <w:rFonts w:ascii="Titillium Web" w:eastAsia="Times New Roman" w:hAnsi="Titillium Web" w:cstheme="minorHAnsi"/>
          <w:b/>
          <w:color w:val="000000"/>
          <w:sz w:val="24"/>
          <w:szCs w:val="24"/>
          <w:lang w:eastAsia="it-IT"/>
        </w:rPr>
        <w:t>E63C22000990007</w:t>
      </w:r>
    </w:p>
    <w:p w14:paraId="2580D180" w14:textId="77777777" w:rsidR="00515878" w:rsidRPr="00EB3E67" w:rsidRDefault="00515878" w:rsidP="00515878">
      <w:pPr>
        <w:spacing w:after="0" w:line="240" w:lineRule="auto"/>
        <w:ind w:right="1"/>
        <w:jc w:val="center"/>
        <w:rPr>
          <w:rFonts w:ascii="Titillium Web" w:eastAsia="Times New Roman" w:hAnsi="Titillium Web" w:cstheme="minorHAnsi"/>
          <w:b/>
          <w:color w:val="000000"/>
          <w:sz w:val="24"/>
          <w:szCs w:val="24"/>
          <w:lang w:eastAsia="it-IT"/>
        </w:rPr>
      </w:pPr>
    </w:p>
    <w:p w14:paraId="59F1E228" w14:textId="25E19901" w:rsidR="00515878" w:rsidRPr="00EB3E67" w:rsidRDefault="00515878" w:rsidP="00515878">
      <w:pPr>
        <w:spacing w:after="0" w:line="240" w:lineRule="auto"/>
        <w:jc w:val="center"/>
        <w:rPr>
          <w:rFonts w:ascii="Titillium Web" w:eastAsia="Times New Roman" w:hAnsi="Titillium Web" w:cstheme="minorBidi"/>
          <w:b/>
          <w:color w:val="000000" w:themeColor="text1"/>
          <w:sz w:val="24"/>
          <w:szCs w:val="24"/>
          <w:lang w:eastAsia="it-IT"/>
        </w:rPr>
      </w:pPr>
      <w:bookmarkStart w:id="0" w:name="_Hlk132452423"/>
      <w:r w:rsidRPr="00EB3E67">
        <w:rPr>
          <w:rFonts w:ascii="Titillium Web" w:eastAsia="Times New Roman" w:hAnsi="Titillium Web" w:cstheme="minorBidi"/>
          <w:b/>
          <w:color w:val="000000" w:themeColor="text1"/>
          <w:sz w:val="24"/>
          <w:szCs w:val="24"/>
          <w:lang w:eastAsia="it-IT"/>
        </w:rPr>
        <w:t xml:space="preserve">AVVISO DI INDAGINE DI MERCATO Riferimento N° </w:t>
      </w:r>
      <w:bookmarkEnd w:id="0"/>
      <w:r w:rsidRPr="00EB3E67">
        <w:rPr>
          <w:rFonts w:ascii="Titillium Web" w:eastAsia="Times New Roman" w:hAnsi="Titillium Web" w:cstheme="minorBidi"/>
          <w:b/>
          <w:color w:val="000000" w:themeColor="text1"/>
          <w:sz w:val="24"/>
          <w:szCs w:val="24"/>
          <w:lang w:eastAsia="it-IT"/>
        </w:rPr>
        <w:t>PNRR_DSC_</w:t>
      </w:r>
      <w:r w:rsidR="00C041A6">
        <w:rPr>
          <w:rFonts w:ascii="Titillium Web" w:eastAsia="Times New Roman" w:hAnsi="Titillium Web" w:cstheme="minorBidi"/>
          <w:b/>
          <w:color w:val="000000" w:themeColor="text1"/>
          <w:sz w:val="24"/>
          <w:szCs w:val="24"/>
          <w:lang w:eastAsia="it-IT"/>
        </w:rPr>
        <w:t>01</w:t>
      </w:r>
      <w:r w:rsidRPr="00EB3E67">
        <w:rPr>
          <w:rFonts w:ascii="Titillium Web" w:eastAsia="Times New Roman" w:hAnsi="Titillium Web" w:cstheme="minorBidi"/>
          <w:b/>
          <w:color w:val="000000" w:themeColor="text1"/>
          <w:sz w:val="24"/>
          <w:szCs w:val="24"/>
          <w:lang w:eastAsia="it-IT"/>
        </w:rPr>
        <w:t>_202</w:t>
      </w:r>
      <w:r w:rsidR="00C041A6">
        <w:rPr>
          <w:rFonts w:ascii="Titillium Web" w:eastAsia="Times New Roman" w:hAnsi="Titillium Web" w:cstheme="minorBidi"/>
          <w:b/>
          <w:color w:val="000000" w:themeColor="text1"/>
          <w:sz w:val="24"/>
          <w:szCs w:val="24"/>
          <w:lang w:eastAsia="it-IT"/>
        </w:rPr>
        <w:t>4</w:t>
      </w:r>
    </w:p>
    <w:p w14:paraId="2F7DFD63" w14:textId="77777777" w:rsidR="00515878" w:rsidRPr="00EB3E67" w:rsidRDefault="00515878" w:rsidP="00515878">
      <w:pPr>
        <w:spacing w:after="0" w:line="240" w:lineRule="auto"/>
        <w:ind w:right="1"/>
        <w:jc w:val="center"/>
        <w:rPr>
          <w:rFonts w:ascii="Titillium Web" w:eastAsia="Times New Roman" w:hAnsi="Titillium Web" w:cstheme="minorBidi"/>
          <w:b/>
          <w:color w:val="000000"/>
          <w:sz w:val="24"/>
          <w:szCs w:val="24"/>
          <w:lang w:eastAsia="it-IT"/>
        </w:rPr>
      </w:pPr>
    </w:p>
    <w:p w14:paraId="0F6E852D" w14:textId="77777777" w:rsidR="00515878" w:rsidRPr="00EB3E67" w:rsidRDefault="00515878" w:rsidP="00515878">
      <w:pPr>
        <w:spacing w:after="0" w:line="240" w:lineRule="auto"/>
        <w:ind w:right="1"/>
        <w:jc w:val="center"/>
        <w:rPr>
          <w:rFonts w:ascii="Titillium Web" w:eastAsia="Times New Roman" w:hAnsi="Titillium Web" w:cstheme="minorHAnsi"/>
          <w:b/>
          <w:color w:val="000000"/>
          <w:sz w:val="24"/>
          <w:szCs w:val="24"/>
          <w:lang w:eastAsia="it-IT"/>
        </w:rPr>
      </w:pPr>
    </w:p>
    <w:p w14:paraId="1DF7CA65" w14:textId="2E17C1C7" w:rsidR="00515878" w:rsidRPr="00EB3E67" w:rsidRDefault="00515878" w:rsidP="00515878">
      <w:pPr>
        <w:tabs>
          <w:tab w:val="left" w:pos="1172"/>
        </w:tabs>
        <w:spacing w:after="120" w:line="240" w:lineRule="auto"/>
        <w:jc w:val="both"/>
        <w:rPr>
          <w:rFonts w:ascii="Titillium Web" w:eastAsia="Times New Roman" w:hAnsi="Titillium Web" w:cstheme="minorBidi"/>
          <w:b/>
          <w:color w:val="000000" w:themeColor="text1"/>
          <w:sz w:val="24"/>
          <w:szCs w:val="24"/>
          <w:lang w:eastAsia="it-IT"/>
        </w:rPr>
      </w:pPr>
      <w:r w:rsidRPr="00EB3E67">
        <w:rPr>
          <w:rFonts w:ascii="Titillium Web" w:eastAsia="Times New Roman" w:hAnsi="Titillium Web" w:cstheme="minorBidi"/>
          <w:b/>
          <w:color w:val="000000" w:themeColor="text1"/>
          <w:sz w:val="24"/>
          <w:szCs w:val="24"/>
          <w:lang w:eastAsia="it-IT"/>
        </w:rPr>
        <w:t xml:space="preserve">Oggetto: INDAGINE ESPLORATIVA DI MERCATO VOLTA A RACCOGLIERE PREVENTIVI INFORMALI FINALIZZATI ALL’AFFIDAMENTO DELLA FORNITURA DI </w:t>
      </w:r>
      <w:r w:rsidRPr="00C041A6">
        <w:rPr>
          <w:rFonts w:ascii="Titillium Web" w:eastAsia="Times New Roman" w:hAnsi="Titillium Web" w:cstheme="minorBidi"/>
          <w:b/>
          <w:color w:val="000000" w:themeColor="text1"/>
          <w:sz w:val="24"/>
          <w:szCs w:val="24"/>
          <w:lang w:eastAsia="it-IT"/>
        </w:rPr>
        <w:t>“</w:t>
      </w:r>
      <w:r w:rsidR="00C041A6" w:rsidRPr="00C041A6">
        <w:rPr>
          <w:rFonts w:ascii="Titillium Web" w:eastAsia="Times New Roman" w:hAnsi="Titillium Web" w:cstheme="minorBidi"/>
          <w:b/>
          <w:color w:val="000000" w:themeColor="text1"/>
          <w:sz w:val="24"/>
          <w:szCs w:val="24"/>
          <w:lang w:eastAsia="it-IT"/>
        </w:rPr>
        <w:t>Cromatografo Liquido Piattaforma GPC/SEC</w:t>
      </w:r>
      <w:r w:rsidRPr="00C041A6">
        <w:rPr>
          <w:rFonts w:ascii="Titillium Web" w:eastAsia="Times New Roman" w:hAnsi="Titillium Web" w:cstheme="minorBidi"/>
          <w:b/>
          <w:color w:val="000000" w:themeColor="text1"/>
          <w:sz w:val="24"/>
          <w:szCs w:val="24"/>
          <w:lang w:eastAsia="it-IT"/>
        </w:rPr>
        <w:t>”</w:t>
      </w:r>
      <w:r w:rsidRPr="00EB3E67">
        <w:rPr>
          <w:rFonts w:ascii="Titillium Web" w:eastAsia="Times New Roman" w:hAnsi="Titillium Web" w:cstheme="minorBidi"/>
          <w:b/>
          <w:color w:val="000000" w:themeColor="text1"/>
          <w:sz w:val="24"/>
          <w:szCs w:val="24"/>
          <w:lang w:eastAsia="it-IT"/>
        </w:rPr>
        <w:t xml:space="preserve"> NELL’AMBITO DEL PIANO NAZIONALE RIPRESA E RESILIENZA (PNRR)</w:t>
      </w:r>
    </w:p>
    <w:p w14:paraId="461C3D43" w14:textId="77777777" w:rsidR="00515878" w:rsidRPr="0001056B" w:rsidRDefault="00515878" w:rsidP="00515878">
      <w:pPr>
        <w:spacing w:after="0" w:line="240" w:lineRule="auto"/>
        <w:ind w:right="1"/>
        <w:jc w:val="both"/>
        <w:rPr>
          <w:rFonts w:eastAsia="Arial" w:cstheme="minorHAnsi"/>
          <w:b/>
          <w:highlight w:val="yellow"/>
          <w:lang w:eastAsia="it-IT"/>
        </w:rPr>
      </w:pPr>
    </w:p>
    <w:p w14:paraId="44671280" w14:textId="77777777" w:rsidR="00515878" w:rsidRPr="002A4D62" w:rsidRDefault="00515878" w:rsidP="00515878">
      <w:pPr>
        <w:spacing w:after="0" w:line="240" w:lineRule="auto"/>
        <w:ind w:right="1"/>
        <w:rPr>
          <w:rFonts w:ascii="Titillium Web" w:eastAsia="Times New Roman" w:hAnsi="Titillium Web" w:cstheme="minorHAnsi"/>
          <w:b/>
          <w:color w:val="000000"/>
          <w:sz w:val="24"/>
          <w:szCs w:val="24"/>
          <w:lang w:eastAsia="it-IT"/>
        </w:rPr>
      </w:pPr>
      <w:r w:rsidRPr="002A4D62">
        <w:rPr>
          <w:rFonts w:ascii="Titillium Web" w:eastAsia="Times New Roman" w:hAnsi="Titillium Web" w:cstheme="minorHAnsi"/>
          <w:b/>
          <w:color w:val="000000"/>
          <w:sz w:val="24"/>
          <w:szCs w:val="24"/>
          <w:lang w:eastAsia="it-IT"/>
        </w:rPr>
        <w:t>PREMESSE E FINALITA’</w:t>
      </w:r>
    </w:p>
    <w:p w14:paraId="413D8633" w14:textId="77777777" w:rsidR="00515878" w:rsidRPr="002A4D62" w:rsidRDefault="00515878" w:rsidP="00515878">
      <w:pPr>
        <w:spacing w:after="0" w:line="240" w:lineRule="auto"/>
        <w:ind w:right="1"/>
        <w:jc w:val="both"/>
        <w:rPr>
          <w:rFonts w:ascii="Titillium Web" w:eastAsia="Times New Roman" w:hAnsi="Titillium Web" w:cstheme="minorBidi"/>
          <w:color w:val="000000"/>
          <w:sz w:val="18"/>
          <w:szCs w:val="18"/>
          <w:lang w:eastAsia="it-IT"/>
        </w:rPr>
      </w:pPr>
      <w:bookmarkStart w:id="1" w:name="_Hlk132452202"/>
      <w:r w:rsidRPr="002A4D62">
        <w:rPr>
          <w:rFonts w:ascii="Titillium Web" w:eastAsia="Times New Roman" w:hAnsi="Titillium Web" w:cstheme="minorBidi"/>
          <w:color w:val="000000" w:themeColor="text1"/>
          <w:sz w:val="18"/>
          <w:szCs w:val="18"/>
          <w:lang w:eastAsia="it-IT"/>
        </w:rPr>
        <w:t xml:space="preserve">Il Dipartimento di Scienze Chimiche dell’Università degli Studi di Napoli “Federico II”  (di seguito “Stazione Appaltante”) intende procedere, a mezzo della presente indagine esplorativa di mercato è preordinata a conoscere gli operatori economici interessati a partecipare a eventuali procedure di selezione per lo specifico affidamento di contratti di importo inferiore alle soglie di rilevanza europea, ai sensi dell’art. 50, comma 2, del D.Lgs. n. 36/2023 (cfr. Allegato II.1, artt. 1 e 2 , “Disposizioni generali” e “Indagini di mercato”) recante “Codice dei contratti pubblici in attuazione dell’art. 1 della L. n, 78 del 21/06/2022, recante delega al Governo in materia di contratti pubblici”. </w:t>
      </w:r>
    </w:p>
    <w:bookmarkEnd w:id="1"/>
    <w:p w14:paraId="70523A3A" w14:textId="77777777" w:rsidR="00515878" w:rsidRPr="002A4D62" w:rsidRDefault="00515878" w:rsidP="00515878">
      <w:pPr>
        <w:spacing w:after="0" w:line="240" w:lineRule="auto"/>
        <w:ind w:right="1"/>
        <w:jc w:val="both"/>
        <w:rPr>
          <w:rFonts w:ascii="Titillium Web" w:eastAsia="Times New Roman" w:hAnsi="Titillium Web" w:cstheme="minorHAnsi"/>
          <w:bCs/>
          <w:color w:val="000000"/>
          <w:sz w:val="18"/>
          <w:szCs w:val="18"/>
          <w:lang w:eastAsia="it-IT"/>
        </w:rPr>
      </w:pPr>
    </w:p>
    <w:p w14:paraId="1D90ABE6" w14:textId="77777777" w:rsidR="00515878" w:rsidRPr="002A4D62" w:rsidRDefault="00515878" w:rsidP="00515878">
      <w:pPr>
        <w:spacing w:after="0" w:line="240" w:lineRule="auto"/>
        <w:ind w:right="1"/>
        <w:jc w:val="both"/>
        <w:rPr>
          <w:rFonts w:ascii="Titillium Web" w:eastAsia="Times New Roman" w:hAnsi="Titillium Web" w:cstheme="minorHAnsi"/>
          <w:bCs/>
          <w:color w:val="000000"/>
          <w:sz w:val="18"/>
          <w:szCs w:val="18"/>
          <w:lang w:eastAsia="it-IT"/>
        </w:rPr>
      </w:pPr>
      <w:r w:rsidRPr="002A4D62">
        <w:rPr>
          <w:rFonts w:ascii="Titillium Web" w:eastAsia="Times New Roman" w:hAnsi="Titillium Web" w:cstheme="minorHAnsi"/>
          <w:bCs/>
          <w:color w:val="000000"/>
          <w:sz w:val="18"/>
          <w:szCs w:val="18"/>
          <w:lang w:eastAsia="it-IT"/>
        </w:rPr>
        <w:t>Tale fase esplorativa non ingenera negli operatori economici alcun affidamento sul successivo invito alla procedura di gara.  Il presente avviso, predisposto nel rispetto dei principi di libera concorrenza, non discriminazione, trasparenza, proporzionalità, pubblicità e rotazione degli affidamenti di cui all’art. 49 del Codice, non costituisce,  pertanto, invito a partecipare a gara pubblica, né un’offerta al pubblico  (art. 1336 del codice civile) o promessa al pubblico (art. 1989 del codice civile), ma ha lo scopo di esplorare le possibilità offerte dal mercato al fine di affidare direttamente la fornitura. Le indagini di mercato sono svolte secondo le modalità ritenute più convenienti della scrivente Struttura, in base alla complessità o meno dell’affidamento, secondo i principi di adeguatezza e proporzionalità dello stesso.</w:t>
      </w:r>
    </w:p>
    <w:p w14:paraId="521F4E86" w14:textId="77777777" w:rsidR="00515878" w:rsidRPr="002A4D62" w:rsidRDefault="00515878" w:rsidP="00515878">
      <w:pPr>
        <w:spacing w:after="0" w:line="240" w:lineRule="auto"/>
        <w:ind w:right="1"/>
        <w:jc w:val="both"/>
        <w:rPr>
          <w:rFonts w:ascii="Titillium Web" w:eastAsia="Times New Roman" w:hAnsi="Titillium Web" w:cstheme="minorHAnsi"/>
          <w:bCs/>
          <w:color w:val="000000"/>
          <w:sz w:val="18"/>
          <w:szCs w:val="18"/>
          <w:lang w:eastAsia="it-IT"/>
        </w:rPr>
      </w:pPr>
    </w:p>
    <w:p w14:paraId="16145ED2" w14:textId="77777777" w:rsidR="00515878" w:rsidRPr="00695EC8" w:rsidRDefault="00515878" w:rsidP="00515878">
      <w:pPr>
        <w:spacing w:after="0" w:line="240" w:lineRule="auto"/>
        <w:ind w:right="1"/>
        <w:jc w:val="both"/>
        <w:rPr>
          <w:rFonts w:ascii="Titillium Web" w:eastAsia="Times New Roman" w:hAnsi="Titillium Web" w:cstheme="minorHAnsi"/>
          <w:bCs/>
          <w:color w:val="000000"/>
          <w:sz w:val="18"/>
          <w:szCs w:val="18"/>
          <w:lang w:eastAsia="it-IT"/>
        </w:rPr>
      </w:pPr>
      <w:r w:rsidRPr="00695EC8">
        <w:rPr>
          <w:rFonts w:ascii="Titillium Web" w:eastAsia="Times New Roman" w:hAnsi="Titillium Web" w:cstheme="minorHAnsi"/>
          <w:bCs/>
          <w:color w:val="000000"/>
          <w:sz w:val="18"/>
          <w:szCs w:val="18"/>
          <w:lang w:eastAsia="it-IT"/>
        </w:rPr>
        <w:t xml:space="preserve">L’indagine in oggetto non comporta l’instaurazione di posizioni giuridiche od obblighi negoziali. Il presente avviso, pertanto, non vincola in alcun modo questa Stazione Appaltante che si riserva, comunque, di sospendere, modificare o annullare il presente avviso esplorativo e di non dar seguito al successivo procedimento di affidamento diretto, senza che i soggetti proponenti possano vantare alcuna pretesa, oppure di affidarla anche in presenza di una sola offerta valida. </w:t>
      </w:r>
    </w:p>
    <w:p w14:paraId="26866699" w14:textId="77777777" w:rsidR="00515878" w:rsidRPr="00695EC8" w:rsidRDefault="00515878" w:rsidP="00515878">
      <w:pPr>
        <w:spacing w:after="0" w:line="240" w:lineRule="auto"/>
        <w:ind w:right="1"/>
        <w:jc w:val="center"/>
        <w:rPr>
          <w:rFonts w:ascii="Titillium Web" w:eastAsia="Times New Roman" w:hAnsi="Titillium Web" w:cstheme="minorHAnsi"/>
          <w:bCs/>
          <w:color w:val="000000"/>
          <w:sz w:val="20"/>
          <w:szCs w:val="20"/>
          <w:lang w:eastAsia="it-IT"/>
        </w:rPr>
      </w:pPr>
    </w:p>
    <w:p w14:paraId="0D1AB9ED" w14:textId="77777777" w:rsidR="00515878" w:rsidRPr="00695EC8" w:rsidRDefault="00515878" w:rsidP="00515878">
      <w:pPr>
        <w:spacing w:after="0" w:line="240" w:lineRule="auto"/>
        <w:ind w:right="1"/>
        <w:jc w:val="both"/>
        <w:rPr>
          <w:rFonts w:ascii="Titillium Web" w:eastAsia="Times New Roman" w:hAnsi="Titillium Web" w:cstheme="minorHAnsi"/>
          <w:bCs/>
          <w:color w:val="000000"/>
          <w:sz w:val="18"/>
          <w:szCs w:val="18"/>
          <w:lang w:eastAsia="it-IT"/>
        </w:rPr>
      </w:pPr>
      <w:r w:rsidRPr="00695EC8">
        <w:rPr>
          <w:rFonts w:ascii="Titillium Web" w:eastAsia="Times New Roman" w:hAnsi="Titillium Web" w:cstheme="minorHAnsi"/>
          <w:bCs/>
          <w:color w:val="000000"/>
          <w:sz w:val="18"/>
          <w:szCs w:val="18"/>
          <w:lang w:eastAsia="it-IT"/>
        </w:rPr>
        <w:lastRenderedPageBreak/>
        <w:t>I preventivi ricevuti si intenderanno impegnativi per il fornitore per un periodo di massimo 60 giorni di calendario, mentre non saranno in alcun modo impegnativi per la Stazione Appaltante, per la quale resta salva la facoltà di procedere o meno a successive e ulteriori richieste di offerte volte all’affidamento della fornitura in di cui all’oggetto.</w:t>
      </w:r>
    </w:p>
    <w:p w14:paraId="555B715E" w14:textId="77777777" w:rsidR="00515878" w:rsidRPr="0001056B" w:rsidRDefault="00515878" w:rsidP="00515878">
      <w:pPr>
        <w:spacing w:after="0" w:line="240" w:lineRule="auto"/>
        <w:ind w:right="1"/>
        <w:rPr>
          <w:rFonts w:ascii="Titillium Web" w:eastAsia="Times New Roman" w:hAnsi="Titillium Web" w:cstheme="minorHAnsi"/>
          <w:bCs/>
          <w:color w:val="000000"/>
          <w:sz w:val="18"/>
          <w:szCs w:val="18"/>
          <w:highlight w:val="yellow"/>
          <w:lang w:eastAsia="it-IT"/>
        </w:rPr>
      </w:pPr>
    </w:p>
    <w:p w14:paraId="30190CCC" w14:textId="77777777" w:rsidR="00515878" w:rsidRPr="00EB3E67" w:rsidRDefault="00515878" w:rsidP="00515878">
      <w:pPr>
        <w:autoSpaceDE w:val="0"/>
        <w:autoSpaceDN w:val="0"/>
        <w:adjustRightInd w:val="0"/>
        <w:spacing w:after="0" w:line="240" w:lineRule="auto"/>
        <w:ind w:right="1"/>
        <w:rPr>
          <w:rFonts w:ascii="Titillium Web" w:eastAsia="Times New Roman" w:hAnsi="Titillium Web" w:cstheme="minorHAnsi"/>
          <w:b/>
          <w:color w:val="000000"/>
          <w:sz w:val="24"/>
          <w:szCs w:val="24"/>
          <w:lang w:eastAsia="it-IT"/>
        </w:rPr>
      </w:pPr>
      <w:r w:rsidRPr="00EB3E67">
        <w:rPr>
          <w:rFonts w:ascii="Titillium Web" w:eastAsia="Times New Roman" w:hAnsi="Titillium Web" w:cstheme="minorHAnsi"/>
          <w:b/>
          <w:color w:val="000000"/>
          <w:sz w:val="24"/>
          <w:szCs w:val="24"/>
          <w:lang w:eastAsia="it-IT"/>
        </w:rPr>
        <w:t>OGGETTO DELLA FORNITURA</w:t>
      </w:r>
    </w:p>
    <w:p w14:paraId="4C0CCC4B" w14:textId="4506B0DD" w:rsidR="00515878" w:rsidRPr="00EB3E67" w:rsidRDefault="00515878" w:rsidP="00515878">
      <w:pPr>
        <w:autoSpaceDE w:val="0"/>
        <w:autoSpaceDN w:val="0"/>
        <w:adjustRightInd w:val="0"/>
        <w:spacing w:after="0" w:line="240" w:lineRule="auto"/>
        <w:ind w:right="1"/>
        <w:jc w:val="both"/>
        <w:rPr>
          <w:rFonts w:ascii="Titillium Web" w:eastAsia="Times New Roman" w:hAnsi="Titillium Web" w:cstheme="minorBidi"/>
          <w:color w:val="000000"/>
          <w:sz w:val="18"/>
          <w:szCs w:val="18"/>
          <w:lang w:eastAsia="it-IT"/>
        </w:rPr>
      </w:pPr>
      <w:bookmarkStart w:id="2" w:name="_Hlk132448130"/>
      <w:r w:rsidRPr="00EB3E67">
        <w:rPr>
          <w:rFonts w:ascii="Titillium Web" w:eastAsia="Times New Roman" w:hAnsi="Titillium Web" w:cstheme="minorBidi"/>
          <w:color w:val="000000" w:themeColor="text1"/>
          <w:sz w:val="18"/>
          <w:szCs w:val="18"/>
          <w:lang w:eastAsia="it-IT"/>
        </w:rPr>
        <w:t>L’oggetto della fornitura è</w:t>
      </w:r>
      <w:r w:rsidRPr="00EB3E67">
        <w:rPr>
          <w:rFonts w:ascii="Titillium Web" w:eastAsia="Times New Roman" w:hAnsi="Titillium Web" w:cstheme="minorBidi"/>
          <w:b/>
          <w:color w:val="000000" w:themeColor="text1"/>
          <w:sz w:val="24"/>
          <w:szCs w:val="24"/>
          <w:lang w:eastAsia="it-IT"/>
        </w:rPr>
        <w:t xml:space="preserve"> </w:t>
      </w:r>
      <w:r w:rsidR="002A4D62" w:rsidRPr="00EB3E67">
        <w:rPr>
          <w:rFonts w:ascii="Titillium Web" w:eastAsia="Times New Roman" w:hAnsi="Titillium Web" w:cstheme="minorBidi"/>
          <w:b/>
          <w:color w:val="000000" w:themeColor="text1"/>
          <w:sz w:val="28"/>
          <w:szCs w:val="28"/>
          <w:lang w:eastAsia="it-IT"/>
        </w:rPr>
        <w:t>“</w:t>
      </w:r>
      <w:r w:rsidR="00C041A6" w:rsidRPr="00C041A6">
        <w:rPr>
          <w:rFonts w:ascii="Titillium Web" w:eastAsia="Times New Roman" w:hAnsi="Titillium Web" w:cstheme="minorBidi"/>
          <w:b/>
          <w:color w:val="000000" w:themeColor="text1"/>
          <w:sz w:val="24"/>
          <w:szCs w:val="24"/>
          <w:lang w:eastAsia="it-IT"/>
        </w:rPr>
        <w:t>“Cromatografo Liquido Piattaforma GPC/SEC”</w:t>
      </w:r>
      <w:r w:rsidR="00C041A6" w:rsidRPr="00EB3E67">
        <w:rPr>
          <w:rFonts w:ascii="Titillium Web" w:eastAsia="Times New Roman" w:hAnsi="Titillium Web" w:cstheme="minorBidi"/>
          <w:b/>
          <w:color w:val="000000" w:themeColor="text1"/>
          <w:sz w:val="24"/>
          <w:szCs w:val="24"/>
          <w:lang w:eastAsia="it-IT"/>
        </w:rPr>
        <w:t xml:space="preserve"> </w:t>
      </w:r>
      <w:r w:rsidRPr="00EB3E67">
        <w:rPr>
          <w:rFonts w:ascii="Titillium Web" w:eastAsia="Times New Roman" w:hAnsi="Titillium Web" w:cstheme="minorBidi"/>
          <w:color w:val="000000" w:themeColor="text1"/>
          <w:sz w:val="18"/>
          <w:szCs w:val="18"/>
          <w:lang w:eastAsia="it-IT"/>
        </w:rPr>
        <w:t xml:space="preserve">le cui caratteristiche tecniche sono riportate nell’allegata scheda tecnica (Allegato A). </w:t>
      </w:r>
    </w:p>
    <w:p w14:paraId="22063F73" w14:textId="77777777" w:rsidR="00515878" w:rsidRPr="00EB3E67" w:rsidRDefault="00515878" w:rsidP="00515878">
      <w:pPr>
        <w:autoSpaceDE w:val="0"/>
        <w:autoSpaceDN w:val="0"/>
        <w:adjustRightInd w:val="0"/>
        <w:spacing w:after="0" w:line="240" w:lineRule="auto"/>
        <w:ind w:right="1"/>
        <w:jc w:val="both"/>
        <w:rPr>
          <w:rFonts w:eastAsia="Times New Roman" w:cstheme="minorHAnsi"/>
          <w:i/>
          <w:sz w:val="18"/>
          <w:szCs w:val="18"/>
          <w:lang w:eastAsia="it-IT"/>
        </w:rPr>
      </w:pPr>
    </w:p>
    <w:p w14:paraId="64BCEF53" w14:textId="77777777" w:rsidR="00515878" w:rsidRPr="00EB3E67" w:rsidRDefault="00515878" w:rsidP="00515878">
      <w:pPr>
        <w:autoSpaceDE w:val="0"/>
        <w:autoSpaceDN w:val="0"/>
        <w:adjustRightInd w:val="0"/>
        <w:spacing w:after="0" w:line="240" w:lineRule="auto"/>
        <w:ind w:right="1"/>
        <w:jc w:val="both"/>
        <w:rPr>
          <w:rFonts w:ascii="Titillium Web" w:eastAsia="Times New Roman" w:hAnsi="Titillium Web" w:cstheme="minorHAnsi"/>
          <w:bCs/>
          <w:color w:val="000000"/>
          <w:sz w:val="18"/>
          <w:szCs w:val="18"/>
          <w:lang w:eastAsia="it-IT"/>
        </w:rPr>
      </w:pPr>
      <w:r w:rsidRPr="00EB3E67">
        <w:rPr>
          <w:rFonts w:ascii="Titillium Web" w:eastAsia="Times New Roman" w:hAnsi="Titillium Web" w:cstheme="minorHAnsi"/>
          <w:bCs/>
          <w:color w:val="000000"/>
          <w:sz w:val="18"/>
          <w:szCs w:val="18"/>
          <w:lang w:eastAsia="it-IT"/>
        </w:rPr>
        <w:t>La ditta appaltatrice dovrà:</w:t>
      </w:r>
    </w:p>
    <w:p w14:paraId="3F36271B" w14:textId="77777777" w:rsidR="00515878" w:rsidRPr="00EB3E67" w:rsidRDefault="00515878" w:rsidP="00515878">
      <w:pPr>
        <w:pStyle w:val="ListParagraph"/>
        <w:numPr>
          <w:ilvl w:val="0"/>
          <w:numId w:val="40"/>
        </w:numPr>
        <w:autoSpaceDE w:val="0"/>
        <w:autoSpaceDN w:val="0"/>
        <w:adjustRightInd w:val="0"/>
        <w:spacing w:after="0" w:line="240" w:lineRule="auto"/>
        <w:ind w:right="1"/>
        <w:jc w:val="both"/>
        <w:rPr>
          <w:rFonts w:ascii="Titillium Web" w:eastAsia="Times New Roman" w:hAnsi="Titillium Web" w:cstheme="minorHAnsi"/>
          <w:bCs/>
          <w:color w:val="000000"/>
          <w:sz w:val="18"/>
          <w:szCs w:val="18"/>
          <w:lang w:eastAsia="it-IT"/>
        </w:rPr>
      </w:pPr>
      <w:r w:rsidRPr="00EB3E67">
        <w:rPr>
          <w:rFonts w:ascii="Titillium Web" w:eastAsia="Times New Roman" w:hAnsi="Titillium Web" w:cstheme="minorHAnsi"/>
          <w:bCs/>
          <w:color w:val="000000"/>
          <w:sz w:val="18"/>
          <w:szCs w:val="18"/>
          <w:lang w:eastAsia="it-IT"/>
        </w:rPr>
        <w:t>Garantire la completezza della fornitura in linea con l’allegato</w:t>
      </w:r>
    </w:p>
    <w:p w14:paraId="1B871C7D" w14:textId="77777777" w:rsidR="00515878" w:rsidRPr="00EB3E67" w:rsidRDefault="00515878" w:rsidP="00515878">
      <w:pPr>
        <w:pStyle w:val="ListParagraph"/>
        <w:numPr>
          <w:ilvl w:val="0"/>
          <w:numId w:val="40"/>
        </w:numPr>
        <w:autoSpaceDE w:val="0"/>
        <w:autoSpaceDN w:val="0"/>
        <w:adjustRightInd w:val="0"/>
        <w:spacing w:after="0" w:line="240" w:lineRule="auto"/>
        <w:ind w:right="1"/>
        <w:jc w:val="both"/>
        <w:rPr>
          <w:rFonts w:ascii="Titillium Web" w:eastAsia="Times New Roman" w:hAnsi="Titillium Web" w:cstheme="minorHAnsi"/>
          <w:bCs/>
          <w:color w:val="000000"/>
          <w:sz w:val="18"/>
          <w:szCs w:val="18"/>
          <w:lang w:eastAsia="it-IT"/>
        </w:rPr>
      </w:pPr>
      <w:r w:rsidRPr="00EB3E67">
        <w:rPr>
          <w:rFonts w:ascii="Titillium Web" w:eastAsia="Times New Roman" w:hAnsi="Titillium Web" w:cstheme="minorHAnsi"/>
          <w:bCs/>
          <w:color w:val="000000"/>
          <w:sz w:val="18"/>
          <w:szCs w:val="18"/>
          <w:lang w:eastAsia="it-IT"/>
        </w:rPr>
        <w:t>Garantire il totale e completo rispetto delle specifiche richieste</w:t>
      </w:r>
    </w:p>
    <w:p w14:paraId="295CAD8B" w14:textId="77777777" w:rsidR="00515878" w:rsidRPr="00EB3E67" w:rsidRDefault="00515878" w:rsidP="00515878">
      <w:pPr>
        <w:pStyle w:val="ListParagraph"/>
        <w:numPr>
          <w:ilvl w:val="0"/>
          <w:numId w:val="40"/>
        </w:numPr>
        <w:autoSpaceDE w:val="0"/>
        <w:autoSpaceDN w:val="0"/>
        <w:adjustRightInd w:val="0"/>
        <w:spacing w:after="0" w:line="240" w:lineRule="auto"/>
        <w:ind w:right="1"/>
        <w:jc w:val="both"/>
        <w:rPr>
          <w:rFonts w:ascii="Titillium Web" w:eastAsia="Times New Roman" w:hAnsi="Titillium Web" w:cstheme="minorHAnsi"/>
          <w:bCs/>
          <w:color w:val="000000"/>
          <w:sz w:val="18"/>
          <w:szCs w:val="18"/>
          <w:lang w:eastAsia="it-IT"/>
        </w:rPr>
      </w:pPr>
      <w:r w:rsidRPr="00EB3E67">
        <w:rPr>
          <w:rFonts w:ascii="Titillium Web" w:eastAsia="Times New Roman" w:hAnsi="Titillium Web" w:cstheme="minorHAnsi"/>
          <w:bCs/>
          <w:color w:val="000000"/>
          <w:sz w:val="18"/>
          <w:szCs w:val="18"/>
          <w:lang w:eastAsia="it-IT"/>
        </w:rPr>
        <w:t>Garantire l’efficienza e l’affidabilità di funzionamento dei prodotti forniti e la garanzia su tutte le parti almeno per tutta la durata del contratto in linea con l’allegato;</w:t>
      </w:r>
    </w:p>
    <w:p w14:paraId="637A87EF" w14:textId="77777777" w:rsidR="00515878" w:rsidRPr="00EB3E67" w:rsidRDefault="00515878" w:rsidP="00515878">
      <w:pPr>
        <w:pStyle w:val="ListParagraph"/>
        <w:numPr>
          <w:ilvl w:val="0"/>
          <w:numId w:val="40"/>
        </w:numPr>
        <w:autoSpaceDE w:val="0"/>
        <w:autoSpaceDN w:val="0"/>
        <w:adjustRightInd w:val="0"/>
        <w:spacing w:after="0" w:line="240" w:lineRule="auto"/>
        <w:ind w:right="1"/>
        <w:jc w:val="both"/>
        <w:rPr>
          <w:rFonts w:ascii="Titillium Web" w:eastAsia="Times New Roman" w:hAnsi="Titillium Web" w:cstheme="minorHAnsi"/>
          <w:bCs/>
          <w:color w:val="000000"/>
          <w:sz w:val="18"/>
          <w:szCs w:val="18"/>
          <w:lang w:eastAsia="it-IT"/>
        </w:rPr>
      </w:pPr>
      <w:r w:rsidRPr="00EB3E67">
        <w:rPr>
          <w:rFonts w:ascii="Titillium Web" w:eastAsia="Times New Roman" w:hAnsi="Titillium Web" w:cstheme="minorHAnsi"/>
          <w:bCs/>
          <w:color w:val="000000"/>
          <w:sz w:val="18"/>
          <w:szCs w:val="18"/>
          <w:lang w:eastAsia="it-IT"/>
        </w:rPr>
        <w:t>Garantire i tempi di consegna</w:t>
      </w:r>
    </w:p>
    <w:bookmarkEnd w:id="2"/>
    <w:p w14:paraId="6EBDBEE0" w14:textId="77777777" w:rsidR="00515878" w:rsidRPr="00EB3E67" w:rsidRDefault="00515878" w:rsidP="00515878">
      <w:pPr>
        <w:autoSpaceDE w:val="0"/>
        <w:autoSpaceDN w:val="0"/>
        <w:adjustRightInd w:val="0"/>
        <w:spacing w:after="0" w:line="240" w:lineRule="auto"/>
        <w:ind w:right="1"/>
        <w:jc w:val="both"/>
        <w:rPr>
          <w:rFonts w:ascii="Titillium Web" w:eastAsia="Times New Roman" w:hAnsi="Titillium Web" w:cstheme="minorHAnsi"/>
          <w:bCs/>
          <w:color w:val="000000"/>
          <w:sz w:val="18"/>
          <w:szCs w:val="18"/>
          <w:lang w:eastAsia="it-IT"/>
        </w:rPr>
      </w:pPr>
    </w:p>
    <w:p w14:paraId="00509C87" w14:textId="77777777" w:rsidR="00515878" w:rsidRPr="00EB3E67" w:rsidRDefault="00515878" w:rsidP="00515878">
      <w:pPr>
        <w:pStyle w:val="ListParagraph"/>
        <w:autoSpaceDE w:val="0"/>
        <w:autoSpaceDN w:val="0"/>
        <w:adjustRightInd w:val="0"/>
        <w:spacing w:after="0" w:line="240" w:lineRule="auto"/>
        <w:ind w:right="1"/>
        <w:jc w:val="both"/>
        <w:rPr>
          <w:rFonts w:eastAsia="Arial" w:cstheme="minorHAnsi"/>
          <w:sz w:val="18"/>
          <w:szCs w:val="18"/>
          <w:lang w:eastAsia="it-IT"/>
        </w:rPr>
      </w:pPr>
    </w:p>
    <w:p w14:paraId="2F9191FA" w14:textId="77777777" w:rsidR="00515878" w:rsidRPr="00EB3E67" w:rsidRDefault="00515878" w:rsidP="00515878">
      <w:pPr>
        <w:autoSpaceDE w:val="0"/>
        <w:autoSpaceDN w:val="0"/>
        <w:adjustRightInd w:val="0"/>
        <w:spacing w:after="0" w:line="240" w:lineRule="auto"/>
        <w:ind w:right="1"/>
        <w:jc w:val="both"/>
        <w:rPr>
          <w:rFonts w:ascii="Titillium Web" w:eastAsia="Times New Roman" w:hAnsi="Titillium Web" w:cstheme="minorHAnsi"/>
          <w:bCs/>
          <w:color w:val="000000"/>
          <w:sz w:val="18"/>
          <w:szCs w:val="18"/>
          <w:lang w:eastAsia="it-IT"/>
        </w:rPr>
      </w:pPr>
      <w:bookmarkStart w:id="3" w:name="_Hlk132448419"/>
      <w:r w:rsidRPr="00EB3E67">
        <w:rPr>
          <w:rFonts w:ascii="Titillium Web" w:eastAsia="Times New Roman" w:hAnsi="Titillium Web" w:cstheme="minorHAnsi"/>
          <w:bCs/>
          <w:sz w:val="18"/>
          <w:szCs w:val="18"/>
          <w:lang w:eastAsia="it-IT"/>
        </w:rPr>
        <w:t>I c</w:t>
      </w:r>
      <w:r w:rsidRPr="00EB3E67">
        <w:rPr>
          <w:rFonts w:ascii="Titillium Web" w:eastAsia="Times New Roman" w:hAnsi="Titillium Web" w:cstheme="minorHAnsi"/>
          <w:bCs/>
          <w:color w:val="000000"/>
          <w:sz w:val="18"/>
          <w:szCs w:val="18"/>
          <w:lang w:eastAsia="it-IT"/>
        </w:rPr>
        <w:t>osti di trasferta, installazione e di manodopera sono inclusi nell’offerta.</w:t>
      </w:r>
    </w:p>
    <w:bookmarkEnd w:id="3"/>
    <w:p w14:paraId="7E9A00BB" w14:textId="77777777" w:rsidR="00515878" w:rsidRPr="00EB3E67" w:rsidRDefault="00515878" w:rsidP="00515878">
      <w:pPr>
        <w:autoSpaceDE w:val="0"/>
        <w:autoSpaceDN w:val="0"/>
        <w:adjustRightInd w:val="0"/>
        <w:spacing w:after="0" w:line="240" w:lineRule="auto"/>
        <w:ind w:right="1"/>
        <w:jc w:val="both"/>
        <w:rPr>
          <w:rFonts w:ascii="Titillium Web" w:eastAsia="Times New Roman" w:hAnsi="Titillium Web" w:cstheme="minorHAnsi"/>
          <w:bCs/>
          <w:color w:val="000000"/>
          <w:sz w:val="20"/>
          <w:szCs w:val="20"/>
          <w:lang w:eastAsia="it-IT"/>
        </w:rPr>
      </w:pPr>
    </w:p>
    <w:p w14:paraId="305A5809" w14:textId="51370A0F" w:rsidR="00C041A6" w:rsidRPr="000978B0" w:rsidRDefault="00515878" w:rsidP="00C041A6">
      <w:pPr>
        <w:tabs>
          <w:tab w:val="left" w:pos="1172"/>
        </w:tabs>
        <w:spacing w:after="120" w:line="240" w:lineRule="auto"/>
        <w:jc w:val="both"/>
        <w:rPr>
          <w:rFonts w:ascii="Titillium Web" w:hAnsi="Titillium Web"/>
        </w:rPr>
      </w:pPr>
      <w:r w:rsidRPr="00EB3E67">
        <w:rPr>
          <w:rFonts w:ascii="Titillium Web" w:eastAsia="Times New Roman" w:hAnsi="Titillium Web" w:cstheme="minorBidi"/>
          <w:color w:val="000000" w:themeColor="text1"/>
          <w:sz w:val="18"/>
          <w:szCs w:val="18"/>
          <w:lang w:eastAsia="it-IT"/>
        </w:rPr>
        <w:t xml:space="preserve">Il luogo di consegna ed installazione della fornitura è il </w:t>
      </w:r>
      <w:r w:rsidRPr="00EB3E67">
        <w:rPr>
          <w:rFonts w:ascii="Titillium Web" w:hAnsi="Titillium Web"/>
          <w:b/>
          <w:bCs/>
          <w:sz w:val="18"/>
          <w:szCs w:val="18"/>
        </w:rPr>
        <w:t>Dipartimento di Scienze Chimiche</w:t>
      </w:r>
      <w:r w:rsidRPr="00EB3E67">
        <w:rPr>
          <w:rFonts w:ascii="Titillium Web" w:eastAsia="Times New Roman" w:hAnsi="Titillium Web" w:cstheme="minorBidi"/>
          <w:color w:val="000000" w:themeColor="text1"/>
          <w:sz w:val="18"/>
          <w:szCs w:val="18"/>
          <w:lang w:eastAsia="it-IT"/>
        </w:rPr>
        <w:t xml:space="preserve"> sito in via Cintia, 26 Napoli, 80126 - Complesso Universitario di Monte Sant’Angelo -  </w:t>
      </w:r>
      <w:r w:rsidRPr="00EB3E67">
        <w:rPr>
          <w:rFonts w:ascii="Titillium Web" w:hAnsi="Titillium Web"/>
          <w:sz w:val="18"/>
          <w:szCs w:val="18"/>
        </w:rPr>
        <w:t xml:space="preserve"> </w:t>
      </w:r>
      <w:r w:rsidR="00C041A6" w:rsidRPr="00C041A6">
        <w:rPr>
          <w:rFonts w:ascii="Titillium Web" w:hAnsi="Titillium Web"/>
          <w:b/>
          <w:bCs/>
          <w:sz w:val="18"/>
          <w:szCs w:val="18"/>
        </w:rPr>
        <w:t>Stanza 1MC22</w:t>
      </w:r>
      <w:r w:rsidR="00C041A6" w:rsidRPr="00C041A6">
        <w:rPr>
          <w:rFonts w:ascii="Titillium Web" w:hAnsi="Titillium Web"/>
          <w:sz w:val="18"/>
          <w:szCs w:val="18"/>
        </w:rPr>
        <w:t xml:space="preserve"> P</w:t>
      </w:r>
      <w:r w:rsidR="00C041A6" w:rsidRPr="00C041A6">
        <w:rPr>
          <w:rFonts w:ascii="Titillium Web" w:eastAsia="Times New Roman" w:hAnsi="Titillium Web" w:cstheme="minorHAnsi"/>
          <w:color w:val="000000"/>
          <w:sz w:val="20"/>
          <w:szCs w:val="20"/>
          <w:lang w:eastAsia="it-IT"/>
        </w:rPr>
        <w:t>ersona</w:t>
      </w:r>
      <w:r w:rsidR="00C041A6" w:rsidRPr="00C041A6">
        <w:rPr>
          <w:rFonts w:ascii="Titillium Web" w:eastAsia="Times New Roman" w:hAnsi="Titillium Web" w:cstheme="minorHAnsi"/>
          <w:bCs/>
          <w:color w:val="000000"/>
          <w:sz w:val="20"/>
          <w:szCs w:val="20"/>
          <w:lang w:eastAsia="it-IT"/>
        </w:rPr>
        <w:t xml:space="preserve"> assegnataria:</w:t>
      </w:r>
      <w:r w:rsidR="00C041A6" w:rsidRPr="000978B0">
        <w:rPr>
          <w:rFonts w:ascii="Titillium Web" w:hAnsi="Titillium Web"/>
        </w:rPr>
        <w:t xml:space="preserve"> </w:t>
      </w:r>
      <w:r w:rsidR="00C041A6" w:rsidRPr="00C041A6">
        <w:rPr>
          <w:rFonts w:ascii="Titillium Web" w:hAnsi="Titillium Web"/>
          <w:b/>
          <w:bCs/>
          <w:sz w:val="18"/>
          <w:szCs w:val="18"/>
        </w:rPr>
        <w:t>Prof. Maria Michela Corsaro</w:t>
      </w:r>
    </w:p>
    <w:p w14:paraId="26885854" w14:textId="40EFD7D9" w:rsidR="00515878" w:rsidRPr="00EB3E67" w:rsidRDefault="00515878" w:rsidP="00515878">
      <w:pPr>
        <w:autoSpaceDE w:val="0"/>
        <w:autoSpaceDN w:val="0"/>
        <w:adjustRightInd w:val="0"/>
        <w:spacing w:after="0" w:line="240" w:lineRule="auto"/>
        <w:ind w:right="1"/>
        <w:jc w:val="both"/>
        <w:rPr>
          <w:rFonts w:ascii="Titillium Web" w:eastAsia="Times New Roman" w:hAnsi="Titillium Web" w:cstheme="minorBidi"/>
          <w:color w:val="000000"/>
          <w:sz w:val="18"/>
          <w:szCs w:val="18"/>
          <w:lang w:eastAsia="it-IT"/>
        </w:rPr>
      </w:pPr>
      <w:bookmarkStart w:id="4" w:name="_Hlk132448436"/>
      <w:r w:rsidRPr="00EB3E67">
        <w:rPr>
          <w:rFonts w:ascii="Titillium Web" w:eastAsia="Times New Roman" w:hAnsi="Titillium Web" w:cstheme="minorBidi"/>
          <w:b/>
          <w:bCs/>
          <w:color w:val="000000" w:themeColor="text1"/>
          <w:sz w:val="18"/>
          <w:szCs w:val="18"/>
          <w:lang w:eastAsia="it-IT"/>
        </w:rPr>
        <w:t xml:space="preserve">Tempi di consegna: entro </w:t>
      </w:r>
      <w:r w:rsidR="00C041A6">
        <w:rPr>
          <w:rFonts w:ascii="Titillium Web" w:eastAsia="Times New Roman" w:hAnsi="Titillium Web" w:cstheme="minorBidi"/>
          <w:b/>
          <w:bCs/>
          <w:color w:val="000000" w:themeColor="text1"/>
          <w:sz w:val="18"/>
          <w:szCs w:val="18"/>
          <w:lang w:eastAsia="it-IT"/>
        </w:rPr>
        <w:t>6</w:t>
      </w:r>
      <w:r w:rsidR="00D71806">
        <w:rPr>
          <w:rFonts w:ascii="Titillium Web" w:eastAsia="Times New Roman" w:hAnsi="Titillium Web" w:cstheme="minorBidi"/>
          <w:b/>
          <w:bCs/>
          <w:color w:val="000000" w:themeColor="text1"/>
          <w:sz w:val="18"/>
          <w:szCs w:val="18"/>
          <w:lang w:eastAsia="it-IT"/>
        </w:rPr>
        <w:t xml:space="preserve">0 </w:t>
      </w:r>
      <w:r w:rsidRPr="00EB3E67">
        <w:rPr>
          <w:rFonts w:ascii="Titillium Web" w:eastAsia="Times New Roman" w:hAnsi="Titillium Web" w:cstheme="minorBidi"/>
          <w:b/>
          <w:bCs/>
          <w:color w:val="000000" w:themeColor="text1"/>
          <w:sz w:val="18"/>
          <w:szCs w:val="18"/>
          <w:lang w:eastAsia="it-IT"/>
        </w:rPr>
        <w:t xml:space="preserve">giorni seguenti la </w:t>
      </w:r>
      <w:bookmarkEnd w:id="4"/>
      <w:r w:rsidRPr="00EB3E67">
        <w:rPr>
          <w:rFonts w:ascii="Titillium Web" w:eastAsia="Times New Roman" w:hAnsi="Titillium Web" w:cstheme="minorBidi"/>
          <w:b/>
          <w:bCs/>
          <w:color w:val="000000" w:themeColor="text1"/>
          <w:sz w:val="18"/>
          <w:szCs w:val="18"/>
          <w:lang w:eastAsia="it-IT"/>
        </w:rPr>
        <w:t>stipula.</w:t>
      </w:r>
      <w:r w:rsidRPr="00EB3E67">
        <w:rPr>
          <w:rFonts w:ascii="Titillium Web" w:eastAsia="Times New Roman" w:hAnsi="Titillium Web" w:cstheme="minorBidi"/>
          <w:color w:val="000000" w:themeColor="text1"/>
          <w:sz w:val="18"/>
          <w:szCs w:val="18"/>
          <w:lang w:eastAsia="it-IT"/>
        </w:rPr>
        <w:t xml:space="preserve"> </w:t>
      </w:r>
    </w:p>
    <w:p w14:paraId="57B15B2B" w14:textId="77777777" w:rsidR="00515878" w:rsidRPr="008963CA" w:rsidRDefault="00515878" w:rsidP="00515878">
      <w:pPr>
        <w:autoSpaceDE w:val="0"/>
        <w:autoSpaceDN w:val="0"/>
        <w:adjustRightInd w:val="0"/>
        <w:spacing w:after="0" w:line="240" w:lineRule="auto"/>
        <w:ind w:right="1"/>
        <w:jc w:val="both"/>
        <w:rPr>
          <w:rFonts w:ascii="Titillium Web" w:eastAsia="Times New Roman" w:hAnsi="Titillium Web" w:cstheme="minorHAnsi"/>
          <w:bCs/>
          <w:color w:val="000000"/>
          <w:sz w:val="18"/>
          <w:szCs w:val="18"/>
          <w:lang w:eastAsia="it-IT"/>
        </w:rPr>
      </w:pPr>
    </w:p>
    <w:p w14:paraId="4A03537E" w14:textId="77777777" w:rsidR="00515878" w:rsidRPr="008963CA" w:rsidRDefault="00515878" w:rsidP="00515878">
      <w:pPr>
        <w:autoSpaceDE w:val="0"/>
        <w:autoSpaceDN w:val="0"/>
        <w:adjustRightInd w:val="0"/>
        <w:spacing w:after="0" w:line="240" w:lineRule="auto"/>
        <w:ind w:right="1"/>
        <w:rPr>
          <w:rFonts w:ascii="Titillium Web" w:eastAsia="Times New Roman" w:hAnsi="Titillium Web" w:cstheme="minorHAnsi"/>
          <w:b/>
          <w:color w:val="000000"/>
          <w:sz w:val="24"/>
          <w:szCs w:val="24"/>
          <w:lang w:eastAsia="it-IT"/>
        </w:rPr>
      </w:pPr>
      <w:r w:rsidRPr="008963CA">
        <w:rPr>
          <w:rFonts w:ascii="Titillium Web" w:eastAsia="Times New Roman" w:hAnsi="Titillium Web" w:cstheme="minorHAnsi"/>
          <w:b/>
          <w:color w:val="000000"/>
          <w:sz w:val="24"/>
          <w:szCs w:val="24"/>
          <w:lang w:eastAsia="it-IT"/>
        </w:rPr>
        <w:t>REQUISITI</w:t>
      </w:r>
    </w:p>
    <w:p w14:paraId="7CA6DE90" w14:textId="77777777" w:rsidR="00515878" w:rsidRPr="00D71806" w:rsidRDefault="00515878" w:rsidP="00515878">
      <w:pPr>
        <w:spacing w:after="0" w:line="240" w:lineRule="auto"/>
        <w:ind w:right="1"/>
        <w:jc w:val="both"/>
        <w:rPr>
          <w:rFonts w:ascii="Titillium Web" w:eastAsia="Times New Roman" w:hAnsi="Titillium Web" w:cstheme="minorHAnsi"/>
          <w:bCs/>
          <w:color w:val="000000"/>
          <w:sz w:val="18"/>
          <w:szCs w:val="18"/>
          <w:lang w:eastAsia="it-IT"/>
        </w:rPr>
      </w:pPr>
      <w:r w:rsidRPr="008963CA">
        <w:rPr>
          <w:rFonts w:ascii="Titillium Web" w:eastAsia="Times New Roman" w:hAnsi="Titillium Web" w:cstheme="minorHAnsi"/>
          <w:bCs/>
          <w:color w:val="000000"/>
          <w:sz w:val="18"/>
          <w:szCs w:val="18"/>
          <w:lang w:eastAsia="it-IT"/>
        </w:rPr>
        <w:t xml:space="preserve">Possono inviare il proprio preventivo i soggetti identificati come operatori economici di </w:t>
      </w:r>
      <w:r w:rsidRPr="00D71806">
        <w:rPr>
          <w:rFonts w:ascii="Titillium Web" w:eastAsia="Times New Roman" w:hAnsi="Titillium Web" w:cstheme="minorHAnsi"/>
          <w:bCs/>
          <w:color w:val="000000"/>
          <w:sz w:val="18"/>
          <w:szCs w:val="18"/>
          <w:lang w:eastAsia="it-IT"/>
        </w:rPr>
        <w:t xml:space="preserve">cui agli artt.13, comma 6, e </w:t>
      </w:r>
      <w:r w:rsidRPr="00D71806">
        <w:rPr>
          <w:rFonts w:ascii="Titillium Web" w:eastAsia="Times New Roman" w:hAnsi="Titillium Web" w:cstheme="minorHAnsi"/>
          <w:b/>
          <w:color w:val="000000"/>
          <w:sz w:val="18"/>
          <w:szCs w:val="18"/>
          <w:lang w:eastAsia="it-IT"/>
        </w:rPr>
        <w:t>65,</w:t>
      </w:r>
      <w:r w:rsidRPr="00D71806">
        <w:rPr>
          <w:rFonts w:ascii="Titillium Web" w:eastAsia="Times New Roman" w:hAnsi="Titillium Web" w:cstheme="minorHAnsi"/>
          <w:bCs/>
          <w:color w:val="000000"/>
          <w:sz w:val="18"/>
          <w:szCs w:val="18"/>
          <w:lang w:eastAsia="it-IT"/>
        </w:rPr>
        <w:t xml:space="preserve">  cfr. Allegato I .1, del D. Lgs.n. 36/2023, che:</w:t>
      </w:r>
    </w:p>
    <w:p w14:paraId="28B539B1" w14:textId="2672B227" w:rsidR="00515878" w:rsidRPr="00D71806" w:rsidRDefault="00515878" w:rsidP="00515878">
      <w:pPr>
        <w:pStyle w:val="ListParagraph"/>
        <w:numPr>
          <w:ilvl w:val="0"/>
          <w:numId w:val="42"/>
        </w:numPr>
        <w:autoSpaceDE w:val="0"/>
        <w:autoSpaceDN w:val="0"/>
        <w:adjustRightInd w:val="0"/>
        <w:spacing w:after="0" w:line="240" w:lineRule="auto"/>
        <w:ind w:right="1"/>
        <w:rPr>
          <w:rFonts w:ascii="Titillium Web" w:eastAsia="Times New Roman" w:hAnsi="Titillium Web" w:cstheme="minorBidi"/>
          <w:color w:val="000000"/>
          <w:sz w:val="18"/>
          <w:szCs w:val="18"/>
          <w:lang w:eastAsia="it-IT"/>
        </w:rPr>
      </w:pPr>
      <w:bookmarkStart w:id="5" w:name="_Hlk132445616"/>
      <w:bookmarkStart w:id="6" w:name="_Hlk132448553"/>
      <w:r w:rsidRPr="00D71806">
        <w:rPr>
          <w:rFonts w:ascii="Titillium Web" w:eastAsia="Times New Roman" w:hAnsi="Titillium Web" w:cstheme="minorBidi"/>
          <w:color w:val="000000" w:themeColor="text1"/>
          <w:sz w:val="18"/>
          <w:szCs w:val="18"/>
          <w:lang w:eastAsia="it-IT"/>
        </w:rPr>
        <w:t xml:space="preserve">Sono abilitati al Mercato Elettronico della PA di Consip SpA (MePA) per codice </w:t>
      </w:r>
      <w:r w:rsidRPr="00C041A6">
        <w:rPr>
          <w:rFonts w:ascii="Titillium Web" w:eastAsia="Times New Roman" w:hAnsi="Titillium Web" w:cstheme="minorHAnsi"/>
          <w:b/>
          <w:color w:val="000000"/>
          <w:sz w:val="24"/>
          <w:szCs w:val="24"/>
          <w:lang w:eastAsia="it-IT"/>
        </w:rPr>
        <w:t>CPV</w:t>
      </w:r>
      <w:bookmarkEnd w:id="5"/>
      <w:r w:rsidR="00C041A6" w:rsidRPr="00C041A6">
        <w:rPr>
          <w:rFonts w:ascii="Titillium Web" w:eastAsia="Times New Roman" w:hAnsi="Titillium Web" w:cstheme="minorHAnsi"/>
          <w:b/>
          <w:color w:val="000000"/>
          <w:sz w:val="24"/>
          <w:szCs w:val="24"/>
          <w:lang w:eastAsia="it-IT"/>
        </w:rPr>
        <w:t xml:space="preserve"> 38430000-8</w:t>
      </w:r>
      <w:r w:rsidRPr="00C041A6">
        <w:rPr>
          <w:rFonts w:ascii="Titillium Web" w:eastAsia="Times New Roman" w:hAnsi="Titillium Web" w:cstheme="minorHAnsi"/>
          <w:b/>
          <w:color w:val="000000"/>
          <w:sz w:val="24"/>
          <w:szCs w:val="24"/>
          <w:lang w:eastAsia="it-IT"/>
        </w:rPr>
        <w:t>.</w:t>
      </w:r>
      <w:r w:rsidRPr="00D71806">
        <w:rPr>
          <w:rFonts w:ascii="Titillium Web" w:eastAsia="Times New Roman" w:hAnsi="Titillium Web" w:cstheme="minorBidi"/>
          <w:color w:val="000000" w:themeColor="text1"/>
          <w:sz w:val="18"/>
          <w:szCs w:val="18"/>
          <w:lang w:eastAsia="it-IT"/>
        </w:rPr>
        <w:t xml:space="preserve">  La mancata iscrizione dell’operatore economico al MePA al momento della presentazione del preventivo determinerà la non valutabilità della proposta; </w:t>
      </w:r>
    </w:p>
    <w:p w14:paraId="4B730D0C" w14:textId="77777777" w:rsidR="00515878" w:rsidRPr="00D71806" w:rsidRDefault="00515878" w:rsidP="00515878">
      <w:pPr>
        <w:pStyle w:val="ListParagraph"/>
        <w:numPr>
          <w:ilvl w:val="0"/>
          <w:numId w:val="42"/>
        </w:numPr>
        <w:autoSpaceDE w:val="0"/>
        <w:autoSpaceDN w:val="0"/>
        <w:adjustRightInd w:val="0"/>
        <w:spacing w:after="0" w:line="240" w:lineRule="auto"/>
        <w:ind w:right="1"/>
        <w:rPr>
          <w:rFonts w:ascii="Titillium Web" w:eastAsia="Times New Roman" w:hAnsi="Titillium Web" w:cstheme="minorHAnsi"/>
          <w:bCs/>
          <w:color w:val="000000"/>
          <w:sz w:val="18"/>
          <w:szCs w:val="18"/>
          <w:lang w:eastAsia="it-IT"/>
        </w:rPr>
      </w:pPr>
      <w:r w:rsidRPr="00D71806">
        <w:rPr>
          <w:rFonts w:ascii="Titillium Web" w:eastAsia="Times New Roman" w:hAnsi="Titillium Web" w:cstheme="minorHAnsi"/>
          <w:bCs/>
          <w:color w:val="000000"/>
          <w:sz w:val="18"/>
          <w:szCs w:val="18"/>
          <w:lang w:eastAsia="it-IT"/>
        </w:rPr>
        <w:t>insussistenza di una qualsiasi causa di esclusione prevista dall’art. 94 del D.Lgs. 36/2023;</w:t>
      </w:r>
    </w:p>
    <w:p w14:paraId="17C865B8" w14:textId="77777777" w:rsidR="00515878" w:rsidRPr="00D71806" w:rsidRDefault="00515878" w:rsidP="00515878">
      <w:pPr>
        <w:pStyle w:val="ListParagraph"/>
        <w:numPr>
          <w:ilvl w:val="0"/>
          <w:numId w:val="42"/>
        </w:numPr>
        <w:autoSpaceDE w:val="0"/>
        <w:autoSpaceDN w:val="0"/>
        <w:adjustRightInd w:val="0"/>
        <w:spacing w:after="0" w:line="240" w:lineRule="auto"/>
        <w:ind w:right="1"/>
        <w:rPr>
          <w:rFonts w:ascii="Titillium Web" w:eastAsia="Times New Roman" w:hAnsi="Titillium Web" w:cstheme="minorBidi"/>
          <w:color w:val="000000"/>
          <w:sz w:val="18"/>
          <w:szCs w:val="18"/>
          <w:lang w:eastAsia="it-IT"/>
        </w:rPr>
      </w:pPr>
      <w:r w:rsidRPr="00D71806">
        <w:rPr>
          <w:rFonts w:ascii="Titillium Web" w:eastAsia="Times New Roman" w:hAnsi="Titillium Web" w:cstheme="minorBidi"/>
          <w:color w:val="000000" w:themeColor="text1"/>
          <w:sz w:val="18"/>
          <w:szCs w:val="18"/>
          <w:lang w:eastAsia="it-IT"/>
        </w:rPr>
        <w:t>obbligo di essere iscritti nei registri di cui all’art. 100, co. 5, lett. a, del D.l.gs. n. 36/2023 ; rispettare gli “</w:t>
      </w:r>
      <w:r w:rsidRPr="00D71806">
        <w:rPr>
          <w:rFonts w:ascii="Titillium Web" w:eastAsia="Times New Roman" w:hAnsi="Titillium Web" w:cstheme="minorBidi"/>
          <w:i/>
          <w:iCs/>
          <w:color w:val="000000" w:themeColor="text1"/>
          <w:sz w:val="18"/>
          <w:szCs w:val="18"/>
          <w:lang w:eastAsia="it-IT"/>
        </w:rPr>
        <w:t>Impegni dell’operatore economico</w:t>
      </w:r>
      <w:r w:rsidRPr="00D71806">
        <w:rPr>
          <w:rFonts w:ascii="Titillium Web" w:eastAsia="Times New Roman" w:hAnsi="Titillium Web" w:cstheme="minorBidi"/>
          <w:color w:val="000000" w:themeColor="text1"/>
          <w:sz w:val="18"/>
          <w:szCs w:val="18"/>
          <w:lang w:eastAsia="it-IT"/>
        </w:rPr>
        <w:t xml:space="preserve">” secondo il disposto di cui all’art. 102 del </w:t>
      </w:r>
      <w:r w:rsidRPr="00D71806">
        <w:rPr>
          <w:rFonts w:ascii="Titillium Web" w:eastAsia="Times New Roman" w:hAnsi="Titillium Web" w:cstheme="minorHAnsi"/>
          <w:bCs/>
          <w:color w:val="000000"/>
          <w:sz w:val="18"/>
          <w:szCs w:val="18"/>
          <w:lang w:eastAsia="it-IT"/>
        </w:rPr>
        <w:t xml:space="preserve">D.Lgs. 36/2023 </w:t>
      </w:r>
      <w:r w:rsidRPr="00D71806">
        <w:rPr>
          <w:rFonts w:ascii="Titillium Web" w:eastAsia="Times New Roman" w:hAnsi="Titillium Web" w:cstheme="minorBidi"/>
          <w:color w:val="000000" w:themeColor="text1"/>
          <w:sz w:val="18"/>
          <w:szCs w:val="18"/>
          <w:lang w:eastAsia="it-IT"/>
        </w:rPr>
        <w:t xml:space="preserve">per attività inerenti all’oggetto del presente affidamento e dell’art. 109 del citato Decreto” </w:t>
      </w:r>
      <w:r w:rsidRPr="00D71806">
        <w:rPr>
          <w:rFonts w:ascii="Titillium Web" w:eastAsia="Times New Roman" w:hAnsi="Titillium Web" w:cstheme="minorBidi"/>
          <w:i/>
          <w:iCs/>
          <w:color w:val="000000" w:themeColor="text1"/>
          <w:sz w:val="18"/>
          <w:szCs w:val="18"/>
          <w:lang w:eastAsia="it-IT"/>
        </w:rPr>
        <w:t>Reputazione dell’impresa</w:t>
      </w:r>
      <w:r w:rsidRPr="00D71806">
        <w:rPr>
          <w:rFonts w:ascii="Titillium Web" w:eastAsia="Times New Roman" w:hAnsi="Titillium Web" w:cstheme="minorBidi"/>
          <w:color w:val="000000" w:themeColor="text1"/>
          <w:sz w:val="18"/>
          <w:szCs w:val="18"/>
          <w:lang w:eastAsia="it-IT"/>
        </w:rPr>
        <w:t>” , nonché adempiere alla Verifica dei requisiti generali di cui all’art. 99 del Codice citato.</w:t>
      </w:r>
    </w:p>
    <w:bookmarkEnd w:id="6"/>
    <w:p w14:paraId="7DF30DF2" w14:textId="77777777" w:rsidR="00515878" w:rsidRPr="0001056B" w:rsidRDefault="00515878" w:rsidP="00515878">
      <w:pPr>
        <w:pStyle w:val="ListParagraph"/>
        <w:autoSpaceDE w:val="0"/>
        <w:autoSpaceDN w:val="0"/>
        <w:adjustRightInd w:val="0"/>
        <w:spacing w:after="0" w:line="240" w:lineRule="auto"/>
        <w:ind w:right="1"/>
        <w:jc w:val="both"/>
        <w:rPr>
          <w:rFonts w:ascii="Titillium Web" w:eastAsia="Times New Roman" w:hAnsi="Titillium Web" w:cstheme="minorHAnsi"/>
          <w:bCs/>
          <w:color w:val="000000"/>
          <w:sz w:val="20"/>
          <w:szCs w:val="20"/>
          <w:highlight w:val="yellow"/>
          <w:lang w:eastAsia="it-IT"/>
        </w:rPr>
      </w:pPr>
      <w:r w:rsidRPr="0001056B">
        <w:rPr>
          <w:rFonts w:ascii="Titillium Web" w:eastAsia="Times New Roman" w:hAnsi="Titillium Web" w:cstheme="minorBidi"/>
          <w:color w:val="000000" w:themeColor="text1"/>
          <w:sz w:val="20"/>
          <w:szCs w:val="20"/>
          <w:highlight w:val="yellow"/>
          <w:lang w:eastAsia="it-IT"/>
        </w:rPr>
        <w:t xml:space="preserve"> </w:t>
      </w:r>
    </w:p>
    <w:p w14:paraId="706AEF67" w14:textId="77777777" w:rsidR="00515878" w:rsidRPr="00E31159" w:rsidRDefault="00515878" w:rsidP="00515878">
      <w:pPr>
        <w:autoSpaceDE w:val="0"/>
        <w:autoSpaceDN w:val="0"/>
        <w:adjustRightInd w:val="0"/>
        <w:spacing w:after="0" w:line="240" w:lineRule="auto"/>
        <w:ind w:right="1"/>
        <w:rPr>
          <w:rFonts w:ascii="Titillium Web" w:eastAsia="Times New Roman" w:hAnsi="Titillium Web" w:cstheme="minorHAnsi"/>
          <w:b/>
          <w:color w:val="000000"/>
          <w:sz w:val="24"/>
          <w:szCs w:val="24"/>
          <w:lang w:eastAsia="it-IT"/>
        </w:rPr>
      </w:pPr>
      <w:r w:rsidRPr="00E31159">
        <w:rPr>
          <w:rFonts w:ascii="Titillium Web" w:eastAsia="Times New Roman" w:hAnsi="Titillium Web" w:cstheme="minorHAnsi"/>
          <w:b/>
          <w:color w:val="000000"/>
          <w:sz w:val="24"/>
          <w:szCs w:val="24"/>
          <w:lang w:eastAsia="it-IT"/>
        </w:rPr>
        <w:t>VALORE DELL’AFFIDAMENTO</w:t>
      </w:r>
    </w:p>
    <w:p w14:paraId="516F313C" w14:textId="4ECD08D3" w:rsidR="00515878" w:rsidRPr="00E31159" w:rsidRDefault="00515878" w:rsidP="00515878">
      <w:pPr>
        <w:spacing w:after="0" w:line="240" w:lineRule="auto"/>
        <w:ind w:left="7" w:right="1"/>
        <w:jc w:val="both"/>
        <w:rPr>
          <w:rFonts w:ascii="Titillium Web" w:eastAsia="Times New Roman" w:hAnsi="Titillium Web" w:cstheme="minorBidi"/>
          <w:color w:val="000000"/>
          <w:sz w:val="18"/>
          <w:szCs w:val="18"/>
          <w:lang w:eastAsia="it-IT"/>
        </w:rPr>
      </w:pPr>
      <w:r w:rsidRPr="00E31159">
        <w:rPr>
          <w:rFonts w:ascii="Titillium Web" w:eastAsia="Times New Roman" w:hAnsi="Titillium Web" w:cstheme="minorBidi"/>
          <w:color w:val="000000" w:themeColor="text1"/>
          <w:sz w:val="18"/>
          <w:szCs w:val="18"/>
          <w:lang w:eastAsia="it-IT"/>
        </w:rPr>
        <w:t xml:space="preserve">L’importo complessivo massimo presunto stimato per l’affidamento di cui all’oggetto è pari ad </w:t>
      </w:r>
      <w:r w:rsidRPr="002421D7">
        <w:rPr>
          <w:rFonts w:ascii="Titillium Web" w:eastAsia="Times New Roman" w:hAnsi="Titillium Web" w:cstheme="minorBidi"/>
          <w:b/>
          <w:bCs/>
          <w:color w:val="000000" w:themeColor="text1"/>
          <w:sz w:val="18"/>
          <w:szCs w:val="18"/>
          <w:lang w:eastAsia="it-IT"/>
        </w:rPr>
        <w:t xml:space="preserve">€ </w:t>
      </w:r>
      <w:bookmarkStart w:id="7" w:name="_Hlk132448272"/>
      <w:r w:rsidR="00C041A6">
        <w:rPr>
          <w:rFonts w:ascii="Titillium Web" w:eastAsia="Times New Roman" w:hAnsi="Titillium Web" w:cstheme="minorBidi"/>
          <w:b/>
          <w:bCs/>
          <w:color w:val="000000" w:themeColor="text1"/>
          <w:sz w:val="18"/>
          <w:szCs w:val="18"/>
          <w:lang w:eastAsia="it-IT"/>
        </w:rPr>
        <w:t>117.000,00</w:t>
      </w:r>
      <w:r w:rsidRPr="002421D7">
        <w:rPr>
          <w:rFonts w:ascii="Titillium Web" w:eastAsia="Times New Roman" w:hAnsi="Titillium Web" w:cstheme="minorBidi"/>
          <w:color w:val="000000" w:themeColor="text1"/>
          <w:sz w:val="18"/>
          <w:szCs w:val="18"/>
          <w:lang w:eastAsia="it-IT"/>
        </w:rPr>
        <w:t xml:space="preserve"> (euro –</w:t>
      </w:r>
      <w:r w:rsidR="00F5131E">
        <w:rPr>
          <w:rFonts w:ascii="Titillium Web" w:eastAsia="Times New Roman" w:hAnsi="Titillium Web" w:cstheme="minorBidi"/>
          <w:color w:val="000000" w:themeColor="text1"/>
          <w:sz w:val="18"/>
          <w:szCs w:val="18"/>
          <w:lang w:eastAsia="it-IT"/>
        </w:rPr>
        <w:t>centodiciassetemila</w:t>
      </w:r>
      <w:r w:rsidRPr="002421D7">
        <w:rPr>
          <w:rFonts w:ascii="Titillium Web" w:eastAsia="Times New Roman" w:hAnsi="Titillium Web" w:cstheme="minorBidi"/>
          <w:color w:val="000000" w:themeColor="text1"/>
          <w:sz w:val="18"/>
          <w:szCs w:val="18"/>
          <w:lang w:eastAsia="it-IT"/>
        </w:rPr>
        <w:t>,00)</w:t>
      </w:r>
      <w:r w:rsidRPr="00E31159">
        <w:rPr>
          <w:rFonts w:ascii="Titillium Web" w:eastAsia="Times New Roman" w:hAnsi="Titillium Web" w:cstheme="minorBidi"/>
          <w:color w:val="000000" w:themeColor="text1"/>
          <w:sz w:val="18"/>
          <w:szCs w:val="18"/>
          <w:lang w:eastAsia="it-IT"/>
        </w:rPr>
        <w:t xml:space="preserve">  IVA</w:t>
      </w:r>
      <w:bookmarkEnd w:id="7"/>
      <w:r w:rsidRPr="00E31159">
        <w:rPr>
          <w:rFonts w:ascii="Titillium Web" w:eastAsia="Times New Roman" w:hAnsi="Titillium Web" w:cstheme="minorBidi"/>
          <w:color w:val="000000" w:themeColor="text1"/>
          <w:sz w:val="18"/>
          <w:szCs w:val="18"/>
          <w:lang w:eastAsia="it-IT"/>
        </w:rPr>
        <w:t xml:space="preserve"> </w:t>
      </w:r>
      <w:r w:rsidR="00480EB6">
        <w:rPr>
          <w:rFonts w:ascii="Titillium Web" w:eastAsia="Times New Roman" w:hAnsi="Titillium Web" w:cstheme="minorBidi"/>
          <w:color w:val="000000" w:themeColor="text1"/>
          <w:sz w:val="18"/>
          <w:szCs w:val="18"/>
          <w:lang w:eastAsia="it-IT"/>
        </w:rPr>
        <w:t xml:space="preserve"> inclusa </w:t>
      </w:r>
      <w:r w:rsidRPr="00E31159">
        <w:rPr>
          <w:rFonts w:ascii="Titillium Web" w:eastAsia="Times New Roman" w:hAnsi="Titillium Web" w:cstheme="minorBidi"/>
          <w:color w:val="000000" w:themeColor="text1"/>
          <w:sz w:val="18"/>
          <w:szCs w:val="18"/>
          <w:lang w:eastAsia="it-IT"/>
        </w:rPr>
        <w:t>e comprensiva degli oneri di sicurezza non soggetti a ribasso, necessari alla minimizzazione dei rischi interferenti. Spese di trasporto, installazione e collaudo oltre quanto indicato in allegato A sono a carico dell’offerente.</w:t>
      </w:r>
    </w:p>
    <w:p w14:paraId="31C0BD83" w14:textId="77777777" w:rsidR="00515878" w:rsidRPr="0001056B" w:rsidRDefault="00515878" w:rsidP="00515878">
      <w:pPr>
        <w:spacing w:after="0" w:line="240" w:lineRule="auto"/>
        <w:ind w:left="7" w:right="1"/>
        <w:rPr>
          <w:rFonts w:eastAsia="Arial" w:cstheme="minorHAnsi"/>
          <w:highlight w:val="yellow"/>
          <w:lang w:eastAsia="it-IT"/>
        </w:rPr>
      </w:pPr>
    </w:p>
    <w:p w14:paraId="4A3327F3" w14:textId="77777777" w:rsidR="00515878" w:rsidRPr="00E71E0A" w:rsidRDefault="00515878" w:rsidP="00515878">
      <w:pPr>
        <w:autoSpaceDE w:val="0"/>
        <w:autoSpaceDN w:val="0"/>
        <w:adjustRightInd w:val="0"/>
        <w:spacing w:after="0" w:line="240" w:lineRule="auto"/>
        <w:ind w:right="1"/>
        <w:rPr>
          <w:rFonts w:ascii="Titillium Web" w:eastAsia="Times New Roman" w:hAnsi="Titillium Web" w:cstheme="minorHAnsi"/>
          <w:b/>
          <w:color w:val="000000"/>
          <w:sz w:val="24"/>
          <w:szCs w:val="24"/>
          <w:lang w:eastAsia="it-IT"/>
        </w:rPr>
      </w:pPr>
      <w:r w:rsidRPr="00E71E0A">
        <w:rPr>
          <w:rFonts w:ascii="Titillium Web" w:eastAsia="Times New Roman" w:hAnsi="Titillium Web" w:cstheme="minorHAnsi"/>
          <w:b/>
          <w:color w:val="000000"/>
          <w:sz w:val="24"/>
          <w:szCs w:val="24"/>
          <w:lang w:eastAsia="it-IT"/>
        </w:rPr>
        <w:t>MODALITA’ DI PRESENTAZIONE DEL PREVENTIVO</w:t>
      </w:r>
    </w:p>
    <w:p w14:paraId="27907B8E" w14:textId="01808678" w:rsidR="00515878" w:rsidRPr="0001056B" w:rsidRDefault="00515878" w:rsidP="00515878">
      <w:pPr>
        <w:spacing w:after="0" w:line="240" w:lineRule="auto"/>
        <w:jc w:val="both"/>
        <w:rPr>
          <w:rFonts w:ascii="Titillium Web" w:eastAsia="Times New Roman" w:hAnsi="Titillium Web" w:cstheme="minorBidi"/>
          <w:color w:val="000000" w:themeColor="text1"/>
          <w:sz w:val="18"/>
          <w:szCs w:val="18"/>
          <w:highlight w:val="yellow"/>
          <w:lang w:eastAsia="it-IT"/>
        </w:rPr>
      </w:pPr>
      <w:r w:rsidRPr="008963CA">
        <w:rPr>
          <w:rFonts w:ascii="Titillium Web" w:eastAsia="Times New Roman" w:hAnsi="Titillium Web" w:cstheme="minorBidi"/>
          <w:color w:val="000000" w:themeColor="text1"/>
          <w:sz w:val="18"/>
          <w:szCs w:val="18"/>
          <w:lang w:eastAsia="it-IT"/>
        </w:rPr>
        <w:t xml:space="preserve">I soggetti in possesso dei requisiti sopra indicati dovranno inviare i </w:t>
      </w:r>
      <w:r w:rsidRPr="00CE5457">
        <w:rPr>
          <w:rFonts w:ascii="Titillium Web" w:eastAsia="Times New Roman" w:hAnsi="Titillium Web" w:cstheme="minorBidi"/>
          <w:color w:val="000000" w:themeColor="text1"/>
          <w:sz w:val="18"/>
          <w:szCs w:val="18"/>
          <w:lang w:eastAsia="it-IT"/>
        </w:rPr>
        <w:t xml:space="preserve">documenti sotto richiesti </w:t>
      </w:r>
      <w:r w:rsidRPr="00D71806">
        <w:rPr>
          <w:rFonts w:ascii="Titillium Web" w:eastAsia="Times New Roman" w:hAnsi="Titillium Web" w:cstheme="minorBidi"/>
          <w:color w:val="000000" w:themeColor="text1"/>
          <w:sz w:val="18"/>
          <w:szCs w:val="18"/>
          <w:lang w:eastAsia="it-IT"/>
        </w:rPr>
        <w:t>entro e non oltre il giorno</w:t>
      </w:r>
      <w:r w:rsidRPr="00D71806">
        <w:rPr>
          <w:rFonts w:ascii="Titillium Web" w:eastAsia="Times New Roman" w:hAnsi="Titillium Web" w:cstheme="minorBidi"/>
          <w:b/>
          <w:bCs/>
          <w:color w:val="000000" w:themeColor="text1"/>
          <w:sz w:val="18"/>
          <w:szCs w:val="18"/>
          <w:lang w:eastAsia="it-IT"/>
        </w:rPr>
        <w:t xml:space="preserve"> </w:t>
      </w:r>
      <w:r w:rsidR="00D71806">
        <w:rPr>
          <w:rFonts w:ascii="Titillium Web" w:eastAsia="Times New Roman" w:hAnsi="Titillium Web" w:cstheme="minorBidi"/>
          <w:b/>
          <w:bCs/>
          <w:color w:val="000000" w:themeColor="text1"/>
          <w:sz w:val="18"/>
          <w:szCs w:val="18"/>
          <w:lang w:eastAsia="it-IT"/>
        </w:rPr>
        <w:t xml:space="preserve"> </w:t>
      </w:r>
      <w:r w:rsidR="00C041A6">
        <w:rPr>
          <w:rFonts w:ascii="Titillium Web" w:eastAsia="Times New Roman" w:hAnsi="Titillium Web" w:cstheme="minorBidi"/>
          <w:b/>
          <w:bCs/>
          <w:color w:val="000000" w:themeColor="text1"/>
          <w:sz w:val="18"/>
          <w:szCs w:val="18"/>
          <w:lang w:eastAsia="it-IT"/>
        </w:rPr>
        <w:t>09</w:t>
      </w:r>
      <w:r w:rsidR="008E39CE" w:rsidRPr="000E2659">
        <w:rPr>
          <w:rFonts w:ascii="Titillium Web" w:eastAsia="Times New Roman" w:hAnsi="Titillium Web" w:cstheme="minorBidi"/>
          <w:b/>
          <w:bCs/>
          <w:color w:val="000000" w:themeColor="text1"/>
          <w:sz w:val="18"/>
          <w:szCs w:val="18"/>
          <w:lang w:eastAsia="it-IT"/>
        </w:rPr>
        <w:t xml:space="preserve"> </w:t>
      </w:r>
      <w:r w:rsidR="00C041A6">
        <w:rPr>
          <w:rFonts w:ascii="Titillium Web" w:eastAsia="Times New Roman" w:hAnsi="Titillium Web" w:cstheme="minorBidi"/>
          <w:b/>
          <w:bCs/>
          <w:color w:val="000000" w:themeColor="text1"/>
          <w:sz w:val="18"/>
          <w:szCs w:val="18"/>
          <w:lang w:eastAsia="it-IT"/>
        </w:rPr>
        <w:t>Febbraio</w:t>
      </w:r>
      <w:r w:rsidR="008E39CE" w:rsidRPr="000E2659">
        <w:rPr>
          <w:rFonts w:ascii="Titillium Web" w:eastAsia="Times New Roman" w:hAnsi="Titillium Web" w:cstheme="minorBidi"/>
          <w:b/>
          <w:bCs/>
          <w:color w:val="000000" w:themeColor="text1"/>
          <w:sz w:val="18"/>
          <w:szCs w:val="18"/>
          <w:lang w:eastAsia="it-IT"/>
        </w:rPr>
        <w:t xml:space="preserve"> </w:t>
      </w:r>
      <w:r w:rsidRPr="000E2659">
        <w:rPr>
          <w:rFonts w:ascii="Titillium Web" w:eastAsia="Times New Roman" w:hAnsi="Titillium Web" w:cstheme="minorBidi"/>
          <w:b/>
          <w:bCs/>
          <w:color w:val="000000" w:themeColor="text1"/>
          <w:sz w:val="18"/>
          <w:szCs w:val="18"/>
          <w:lang w:eastAsia="it-IT"/>
        </w:rPr>
        <w:t>202</w:t>
      </w:r>
      <w:r w:rsidR="00C041A6">
        <w:rPr>
          <w:rFonts w:ascii="Titillium Web" w:eastAsia="Times New Roman" w:hAnsi="Titillium Web" w:cstheme="minorBidi"/>
          <w:b/>
          <w:bCs/>
          <w:color w:val="000000" w:themeColor="text1"/>
          <w:sz w:val="18"/>
          <w:szCs w:val="18"/>
          <w:lang w:eastAsia="it-IT"/>
        </w:rPr>
        <w:t>4</w:t>
      </w:r>
      <w:r w:rsidRPr="000E2659">
        <w:rPr>
          <w:rFonts w:ascii="Titillium Web" w:eastAsia="Times New Roman" w:hAnsi="Titillium Web" w:cstheme="minorBidi"/>
          <w:b/>
          <w:bCs/>
          <w:color w:val="000000" w:themeColor="text1"/>
          <w:sz w:val="18"/>
          <w:szCs w:val="18"/>
          <w:lang w:eastAsia="it-IT"/>
        </w:rPr>
        <w:t xml:space="preserve"> ore 1</w:t>
      </w:r>
      <w:r w:rsidR="00C041A6">
        <w:rPr>
          <w:rFonts w:ascii="Titillium Web" w:eastAsia="Times New Roman" w:hAnsi="Titillium Web" w:cstheme="minorBidi"/>
          <w:b/>
          <w:bCs/>
          <w:color w:val="000000" w:themeColor="text1"/>
          <w:sz w:val="18"/>
          <w:szCs w:val="18"/>
          <w:lang w:eastAsia="it-IT"/>
        </w:rPr>
        <w:t>2</w:t>
      </w:r>
      <w:r w:rsidRPr="000E2659">
        <w:rPr>
          <w:rFonts w:ascii="Titillium Web" w:eastAsia="Times New Roman" w:hAnsi="Titillium Web" w:cstheme="minorBidi"/>
          <w:b/>
          <w:bCs/>
          <w:color w:val="000000" w:themeColor="text1"/>
          <w:sz w:val="18"/>
          <w:szCs w:val="18"/>
          <w:lang w:eastAsia="it-IT"/>
        </w:rPr>
        <w:t>:00</w:t>
      </w:r>
      <w:r w:rsidRPr="008963CA">
        <w:rPr>
          <w:rFonts w:ascii="Titillium Web" w:eastAsia="Times New Roman" w:hAnsi="Titillium Web" w:cstheme="minorBidi"/>
          <w:color w:val="000000" w:themeColor="text1"/>
          <w:sz w:val="18"/>
          <w:szCs w:val="18"/>
          <w:lang w:eastAsia="it-IT"/>
        </w:rPr>
        <w:t xml:space="preserve"> </w:t>
      </w:r>
      <w:r w:rsidR="00F5131E">
        <w:rPr>
          <w:rFonts w:ascii="Titillium Web" w:eastAsia="Times New Roman" w:hAnsi="Titillium Web" w:cstheme="minorBidi"/>
          <w:color w:val="000000" w:themeColor="text1"/>
          <w:sz w:val="18"/>
          <w:szCs w:val="18"/>
          <w:lang w:eastAsia="it-IT"/>
        </w:rPr>
        <w:t xml:space="preserve"> </w:t>
      </w:r>
      <w:r w:rsidRPr="008E39CE">
        <w:rPr>
          <w:rFonts w:ascii="Titillium Web" w:eastAsia="Times New Roman" w:hAnsi="Titillium Web" w:cstheme="minorBidi"/>
          <w:color w:val="000000" w:themeColor="text1"/>
          <w:sz w:val="18"/>
          <w:szCs w:val="18"/>
          <w:u w:val="single"/>
          <w:lang w:eastAsia="it-IT"/>
        </w:rPr>
        <w:t>esclusivamente a mezzo PEC</w:t>
      </w:r>
      <w:r w:rsidRPr="008963CA">
        <w:rPr>
          <w:rFonts w:ascii="Titillium Web" w:eastAsia="Times New Roman" w:hAnsi="Titillium Web" w:cstheme="minorBidi"/>
          <w:color w:val="000000" w:themeColor="text1"/>
          <w:sz w:val="18"/>
          <w:szCs w:val="18"/>
          <w:lang w:eastAsia="it-IT"/>
        </w:rPr>
        <w:t xml:space="preserve"> all’indirizzo </w:t>
      </w:r>
      <w:r w:rsidRPr="008963CA">
        <w:rPr>
          <w:rFonts w:ascii="Titillium Web" w:eastAsia="Times New Roman" w:hAnsi="Titillium Web" w:cstheme="minorBidi"/>
          <w:b/>
          <w:bCs/>
          <w:color w:val="000000" w:themeColor="text1"/>
          <w:sz w:val="18"/>
          <w:szCs w:val="18"/>
          <w:lang w:eastAsia="it-IT"/>
        </w:rPr>
        <w:t>dip.scienze-chimiche@pec.unina.it</w:t>
      </w:r>
      <w:r w:rsidRPr="008963CA">
        <w:rPr>
          <w:rFonts w:ascii="Titillium Web" w:eastAsia="Times New Roman" w:hAnsi="Titillium Web" w:cstheme="minorBidi"/>
          <w:color w:val="000000" w:themeColor="text1"/>
          <w:sz w:val="18"/>
          <w:szCs w:val="18"/>
          <w:lang w:eastAsia="it-IT"/>
        </w:rPr>
        <w:t xml:space="preserve"> riportando nell’oggetto:  “</w:t>
      </w:r>
      <w:r w:rsidRPr="008963CA">
        <w:rPr>
          <w:rFonts w:ascii="Titillium Web" w:eastAsia="Times New Roman" w:hAnsi="Titillium Web" w:cstheme="minorBidi"/>
          <w:b/>
          <w:bCs/>
          <w:color w:val="000000" w:themeColor="text1"/>
          <w:sz w:val="18"/>
          <w:szCs w:val="18"/>
          <w:lang w:eastAsia="it-IT"/>
        </w:rPr>
        <w:t>Preventivo INDAGINE ESPLORATIVA DI MERCATO Riferimento N°</w:t>
      </w:r>
      <w:r w:rsidRPr="008963CA">
        <w:rPr>
          <w:rFonts w:ascii="Titillium Web" w:eastAsia="Times New Roman" w:hAnsi="Titillium Web" w:cstheme="minorBidi"/>
          <w:color w:val="000000" w:themeColor="text1"/>
          <w:sz w:val="18"/>
          <w:szCs w:val="18"/>
          <w:lang w:eastAsia="it-IT"/>
        </w:rPr>
        <w:t xml:space="preserve"> </w:t>
      </w:r>
      <w:r w:rsidRPr="008963CA">
        <w:rPr>
          <w:rFonts w:ascii="Titillium Web" w:eastAsia="Times New Roman" w:hAnsi="Titillium Web" w:cstheme="minorBidi"/>
          <w:b/>
          <w:color w:val="000000" w:themeColor="text1"/>
          <w:sz w:val="18"/>
          <w:szCs w:val="18"/>
          <w:lang w:eastAsia="it-IT"/>
        </w:rPr>
        <w:t>PNRR_DSC_</w:t>
      </w:r>
      <w:r w:rsidR="00C041A6">
        <w:rPr>
          <w:rFonts w:ascii="Titillium Web" w:eastAsia="Times New Roman" w:hAnsi="Titillium Web" w:cstheme="minorBidi"/>
          <w:b/>
          <w:color w:val="000000" w:themeColor="text1"/>
          <w:sz w:val="18"/>
          <w:szCs w:val="18"/>
          <w:lang w:eastAsia="it-IT"/>
        </w:rPr>
        <w:t>01</w:t>
      </w:r>
      <w:r w:rsidRPr="008963CA">
        <w:rPr>
          <w:rFonts w:ascii="Titillium Web" w:eastAsia="Times New Roman" w:hAnsi="Titillium Web" w:cstheme="minorBidi"/>
          <w:b/>
          <w:color w:val="000000" w:themeColor="text1"/>
          <w:sz w:val="18"/>
          <w:szCs w:val="18"/>
          <w:lang w:eastAsia="it-IT"/>
        </w:rPr>
        <w:t>_202</w:t>
      </w:r>
      <w:r w:rsidR="00C041A6">
        <w:rPr>
          <w:rFonts w:ascii="Titillium Web" w:eastAsia="Times New Roman" w:hAnsi="Titillium Web" w:cstheme="minorBidi"/>
          <w:b/>
          <w:color w:val="000000" w:themeColor="text1"/>
          <w:sz w:val="18"/>
          <w:szCs w:val="18"/>
          <w:lang w:eastAsia="it-IT"/>
        </w:rPr>
        <w:t>4</w:t>
      </w:r>
      <w:r w:rsidRPr="008963CA">
        <w:rPr>
          <w:rFonts w:ascii="Titillium Web" w:eastAsia="Times New Roman" w:hAnsi="Titillium Web" w:cstheme="minorBidi"/>
          <w:color w:val="000000" w:themeColor="text1"/>
          <w:sz w:val="18"/>
          <w:szCs w:val="18"/>
          <w:lang w:eastAsia="it-IT"/>
        </w:rPr>
        <w:t>”:</w:t>
      </w:r>
    </w:p>
    <w:p w14:paraId="6CE0CE1A" w14:textId="77777777" w:rsidR="00515878" w:rsidRPr="0001056B" w:rsidRDefault="00515878" w:rsidP="00515878">
      <w:pPr>
        <w:spacing w:after="0" w:line="240" w:lineRule="auto"/>
        <w:ind w:left="7" w:right="1"/>
        <w:jc w:val="both"/>
        <w:rPr>
          <w:rFonts w:ascii="Titillium Web" w:eastAsia="Times New Roman" w:hAnsi="Titillium Web" w:cstheme="minorBidi"/>
          <w:color w:val="000000" w:themeColor="text1"/>
          <w:sz w:val="18"/>
          <w:szCs w:val="18"/>
          <w:highlight w:val="yellow"/>
          <w:lang w:eastAsia="it-IT"/>
        </w:rPr>
      </w:pPr>
    </w:p>
    <w:p w14:paraId="074F9B48" w14:textId="77777777" w:rsidR="00515878" w:rsidRPr="008963CA" w:rsidRDefault="00515878" w:rsidP="00515878">
      <w:pPr>
        <w:pStyle w:val="ListParagraph"/>
        <w:numPr>
          <w:ilvl w:val="0"/>
          <w:numId w:val="43"/>
        </w:numPr>
        <w:spacing w:after="0" w:line="240" w:lineRule="auto"/>
        <w:ind w:right="1"/>
        <w:jc w:val="both"/>
        <w:rPr>
          <w:rFonts w:ascii="Titillium Web" w:eastAsia="Times New Roman" w:hAnsi="Titillium Web" w:cstheme="minorBidi"/>
          <w:color w:val="000000" w:themeColor="text1"/>
          <w:sz w:val="18"/>
          <w:szCs w:val="18"/>
          <w:lang w:eastAsia="it-IT"/>
        </w:rPr>
      </w:pPr>
      <w:r w:rsidRPr="008963CA">
        <w:rPr>
          <w:rFonts w:ascii="Titillium Web" w:eastAsia="Times New Roman" w:hAnsi="Titillium Web" w:cstheme="minorBidi"/>
          <w:color w:val="000000" w:themeColor="text1"/>
          <w:sz w:val="18"/>
          <w:szCs w:val="18"/>
          <w:lang w:eastAsia="it-IT"/>
        </w:rPr>
        <w:t>Richiesta di invito (Allegato B: Richiesta Invito)</w:t>
      </w:r>
    </w:p>
    <w:p w14:paraId="1404D8EC" w14:textId="77777777" w:rsidR="00515878" w:rsidRPr="008963CA" w:rsidRDefault="00515878" w:rsidP="00515878">
      <w:pPr>
        <w:pStyle w:val="ListParagraph"/>
        <w:numPr>
          <w:ilvl w:val="0"/>
          <w:numId w:val="43"/>
        </w:numPr>
        <w:spacing w:after="0" w:line="240" w:lineRule="auto"/>
        <w:ind w:right="1"/>
        <w:jc w:val="both"/>
        <w:rPr>
          <w:rFonts w:ascii="Titillium Web" w:eastAsia="Times New Roman" w:hAnsi="Titillium Web" w:cstheme="minorBidi"/>
          <w:color w:val="000000" w:themeColor="text1"/>
          <w:sz w:val="18"/>
          <w:szCs w:val="18"/>
          <w:lang w:eastAsia="it-IT"/>
        </w:rPr>
      </w:pPr>
      <w:r w:rsidRPr="008963CA">
        <w:rPr>
          <w:rFonts w:ascii="Titillium Web" w:eastAsia="Times New Roman" w:hAnsi="Titillium Web" w:cstheme="minorBidi"/>
          <w:color w:val="000000" w:themeColor="text1"/>
          <w:sz w:val="18"/>
          <w:szCs w:val="18"/>
          <w:lang w:eastAsia="it-IT"/>
        </w:rPr>
        <w:t>Relazione tecnica descrittiva della proposta</w:t>
      </w:r>
    </w:p>
    <w:p w14:paraId="19029F51" w14:textId="77777777" w:rsidR="00515878" w:rsidRPr="008963CA" w:rsidRDefault="00515878" w:rsidP="00515878">
      <w:pPr>
        <w:pStyle w:val="ListParagraph"/>
        <w:numPr>
          <w:ilvl w:val="0"/>
          <w:numId w:val="43"/>
        </w:numPr>
        <w:spacing w:after="0" w:line="240" w:lineRule="auto"/>
        <w:ind w:right="1"/>
        <w:jc w:val="both"/>
        <w:rPr>
          <w:rFonts w:ascii="Titillium Web" w:eastAsia="Times New Roman" w:hAnsi="Titillium Web" w:cstheme="minorBidi"/>
          <w:color w:val="000000" w:themeColor="text1"/>
          <w:sz w:val="18"/>
          <w:szCs w:val="18"/>
          <w:lang w:eastAsia="it-IT"/>
        </w:rPr>
      </w:pPr>
      <w:r w:rsidRPr="008963CA">
        <w:rPr>
          <w:rFonts w:ascii="Titillium Web" w:eastAsia="Times New Roman" w:hAnsi="Titillium Web" w:cstheme="minorBidi"/>
          <w:color w:val="000000" w:themeColor="text1"/>
          <w:sz w:val="18"/>
          <w:szCs w:val="18"/>
          <w:lang w:eastAsia="it-IT"/>
        </w:rPr>
        <w:t>Eventuali allegati alla relazione tecnica (esempio, non esaustivo, brochure e/o schede tecniche esplicative di dettagli che consentano la migliore descrizione dell’oggetto dell’affidamento)</w:t>
      </w:r>
    </w:p>
    <w:p w14:paraId="14A6A824" w14:textId="77777777" w:rsidR="00515878" w:rsidRPr="008963CA" w:rsidRDefault="00515878" w:rsidP="00515878">
      <w:pPr>
        <w:pStyle w:val="ListParagraph"/>
        <w:numPr>
          <w:ilvl w:val="0"/>
          <w:numId w:val="43"/>
        </w:numPr>
        <w:spacing w:after="0" w:line="240" w:lineRule="auto"/>
        <w:ind w:right="1"/>
        <w:jc w:val="both"/>
        <w:rPr>
          <w:rFonts w:ascii="Titillium Web" w:eastAsia="Times New Roman" w:hAnsi="Titillium Web" w:cstheme="minorBidi"/>
          <w:color w:val="000000" w:themeColor="text1"/>
          <w:sz w:val="18"/>
          <w:szCs w:val="18"/>
          <w:lang w:eastAsia="it-IT"/>
        </w:rPr>
      </w:pPr>
      <w:r w:rsidRPr="008963CA">
        <w:rPr>
          <w:rFonts w:ascii="Titillium Web" w:eastAsia="Times New Roman" w:hAnsi="Titillium Web" w:cstheme="minorBidi"/>
          <w:color w:val="000000" w:themeColor="text1"/>
          <w:sz w:val="18"/>
          <w:szCs w:val="18"/>
          <w:lang w:eastAsia="it-IT"/>
        </w:rPr>
        <w:t>Preventivo</w:t>
      </w:r>
    </w:p>
    <w:p w14:paraId="588D2C04" w14:textId="77777777" w:rsidR="00515878" w:rsidRPr="008963CA" w:rsidRDefault="00515878" w:rsidP="00515878">
      <w:pPr>
        <w:numPr>
          <w:ilvl w:val="0"/>
          <w:numId w:val="43"/>
        </w:numPr>
        <w:autoSpaceDE w:val="0"/>
        <w:autoSpaceDN w:val="0"/>
        <w:adjustRightInd w:val="0"/>
        <w:spacing w:after="0" w:line="240" w:lineRule="auto"/>
        <w:ind w:right="1"/>
        <w:jc w:val="both"/>
        <w:rPr>
          <w:rFonts w:ascii="Titillium Web" w:eastAsia="Times New Roman" w:hAnsi="Titillium Web" w:cstheme="minorBidi"/>
          <w:color w:val="000000" w:themeColor="text1"/>
          <w:sz w:val="18"/>
          <w:szCs w:val="18"/>
          <w:lang w:eastAsia="it-IT"/>
        </w:rPr>
      </w:pPr>
      <w:r w:rsidRPr="008963CA">
        <w:rPr>
          <w:rFonts w:ascii="Titillium Web" w:eastAsia="Times New Roman" w:hAnsi="Titillium Web" w:cstheme="minorBidi"/>
          <w:color w:val="000000" w:themeColor="text1"/>
          <w:sz w:val="18"/>
          <w:szCs w:val="18"/>
          <w:lang w:eastAsia="it-IT"/>
        </w:rPr>
        <w:t>Dichiarazione DNSH</w:t>
      </w:r>
    </w:p>
    <w:p w14:paraId="3ADE8579" w14:textId="77777777" w:rsidR="00515878" w:rsidRPr="00837DE2" w:rsidRDefault="00515878" w:rsidP="00515878">
      <w:pPr>
        <w:spacing w:after="0" w:line="240" w:lineRule="auto"/>
        <w:ind w:right="1"/>
        <w:jc w:val="both"/>
        <w:rPr>
          <w:rFonts w:ascii="Titillium Web" w:eastAsia="Times New Roman" w:hAnsi="Titillium Web" w:cstheme="minorBidi"/>
          <w:color w:val="000000" w:themeColor="text1"/>
          <w:sz w:val="18"/>
          <w:szCs w:val="18"/>
          <w:highlight w:val="yellow"/>
          <w:lang w:eastAsia="it-IT"/>
        </w:rPr>
      </w:pPr>
    </w:p>
    <w:p w14:paraId="05B33BA4" w14:textId="77777777" w:rsidR="00515878" w:rsidRPr="008963CA" w:rsidRDefault="00515878" w:rsidP="00515878">
      <w:pPr>
        <w:spacing w:after="0" w:line="240" w:lineRule="auto"/>
        <w:ind w:left="7" w:right="1"/>
        <w:jc w:val="both"/>
        <w:rPr>
          <w:rFonts w:ascii="Titillium Web" w:eastAsia="Times New Roman" w:hAnsi="Titillium Web" w:cstheme="minorBidi"/>
          <w:color w:val="000000" w:themeColor="text1"/>
          <w:sz w:val="18"/>
          <w:szCs w:val="18"/>
          <w:lang w:eastAsia="it-IT"/>
        </w:rPr>
      </w:pPr>
      <w:r w:rsidRPr="008963CA">
        <w:rPr>
          <w:rFonts w:ascii="Titillium Web" w:eastAsia="Times New Roman" w:hAnsi="Titillium Web" w:cstheme="minorBidi"/>
          <w:color w:val="000000" w:themeColor="text1"/>
          <w:sz w:val="18"/>
          <w:szCs w:val="18"/>
          <w:lang w:eastAsia="it-IT"/>
        </w:rPr>
        <w:t>La suddetta documentazione dovrà essere redatta su carta intestata dell’operatore economico e sottoscritta digitalmente con firma qualificata da un legale rappresentante/procuratore in grado di impegnare il soggetto.</w:t>
      </w:r>
    </w:p>
    <w:p w14:paraId="4803BD66" w14:textId="1D9389D4" w:rsidR="00515878" w:rsidRPr="00A60BB5" w:rsidRDefault="00515878" w:rsidP="00515878">
      <w:pPr>
        <w:spacing w:after="0" w:line="240" w:lineRule="auto"/>
        <w:ind w:left="7" w:right="1"/>
        <w:jc w:val="both"/>
        <w:rPr>
          <w:rFonts w:ascii="Titillium Web" w:eastAsia="Times New Roman" w:hAnsi="Titillium Web" w:cstheme="minorBidi"/>
          <w:color w:val="000000" w:themeColor="text1"/>
          <w:sz w:val="18"/>
          <w:szCs w:val="18"/>
          <w:lang w:eastAsia="it-IT"/>
        </w:rPr>
      </w:pPr>
    </w:p>
    <w:p w14:paraId="5285BC15" w14:textId="77777777" w:rsidR="00515878" w:rsidRPr="0001056B" w:rsidRDefault="00515878" w:rsidP="00515878">
      <w:pPr>
        <w:spacing w:after="0" w:line="240" w:lineRule="auto"/>
        <w:ind w:left="7" w:right="1"/>
        <w:rPr>
          <w:rFonts w:ascii="Titillium Web" w:eastAsia="Times New Roman" w:hAnsi="Titillium Web" w:cstheme="minorBidi"/>
          <w:color w:val="000000" w:themeColor="text1"/>
          <w:sz w:val="20"/>
          <w:szCs w:val="20"/>
          <w:highlight w:val="yellow"/>
          <w:lang w:eastAsia="it-IT"/>
        </w:rPr>
      </w:pPr>
    </w:p>
    <w:p w14:paraId="6F8D5D26" w14:textId="77777777" w:rsidR="00515878" w:rsidRPr="00E71E0A" w:rsidRDefault="00515878" w:rsidP="00515878">
      <w:pPr>
        <w:autoSpaceDE w:val="0"/>
        <w:autoSpaceDN w:val="0"/>
        <w:adjustRightInd w:val="0"/>
        <w:spacing w:after="0" w:line="240" w:lineRule="auto"/>
        <w:ind w:right="1"/>
        <w:rPr>
          <w:rFonts w:ascii="Titillium Web" w:eastAsia="Times New Roman" w:hAnsi="Titillium Web" w:cstheme="minorHAnsi"/>
          <w:b/>
          <w:color w:val="000000"/>
          <w:sz w:val="24"/>
          <w:szCs w:val="24"/>
          <w:lang w:eastAsia="it-IT"/>
        </w:rPr>
      </w:pPr>
      <w:r w:rsidRPr="00E71E0A">
        <w:rPr>
          <w:rFonts w:ascii="Titillium Web" w:eastAsia="Times New Roman" w:hAnsi="Titillium Web" w:cstheme="minorHAnsi"/>
          <w:b/>
          <w:color w:val="000000"/>
          <w:sz w:val="24"/>
          <w:szCs w:val="24"/>
          <w:lang w:eastAsia="it-IT"/>
        </w:rPr>
        <w:t>ESAME DEI PREVENTIVI</w:t>
      </w:r>
    </w:p>
    <w:p w14:paraId="1D3B6DBF" w14:textId="77777777" w:rsidR="00515878" w:rsidRPr="00E71E0A" w:rsidRDefault="00515878" w:rsidP="00515878">
      <w:pPr>
        <w:spacing w:after="0" w:line="240" w:lineRule="auto"/>
        <w:ind w:left="7"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La Stazione Appaltante, nella persona del richiedente dell’offerta, nel caso in cui intenda procedere all’affidamento, provvederà ad esaminare le relazioni tecniche ed i preventivi ricevuti entro la scadenza.</w:t>
      </w:r>
    </w:p>
    <w:p w14:paraId="0BEE0471" w14:textId="77777777" w:rsidR="00515878" w:rsidRPr="00E71E0A" w:rsidRDefault="00515878" w:rsidP="00515878">
      <w:pPr>
        <w:spacing w:after="0" w:line="240" w:lineRule="auto"/>
        <w:ind w:left="7" w:right="1"/>
        <w:jc w:val="both"/>
        <w:rPr>
          <w:rFonts w:ascii="Titillium Web" w:eastAsia="Times New Roman" w:hAnsi="Titillium Web" w:cstheme="minorBidi"/>
          <w:color w:val="000000" w:themeColor="text1"/>
          <w:sz w:val="18"/>
          <w:szCs w:val="18"/>
          <w:lang w:eastAsia="it-IT"/>
        </w:rPr>
      </w:pPr>
    </w:p>
    <w:p w14:paraId="452D248A" w14:textId="77777777" w:rsidR="00515878" w:rsidRPr="00E71E0A" w:rsidRDefault="00515878" w:rsidP="00515878">
      <w:pPr>
        <w:spacing w:after="0" w:line="240" w:lineRule="auto"/>
        <w:ind w:left="7"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L’individuazione dell’affidatario avverrà su base comparativa delle relazioni tecniche e dei preventivi, utilizzando i seguenti criteri, in ordine decrescente d’importanza:</w:t>
      </w:r>
    </w:p>
    <w:p w14:paraId="6FDF9287" w14:textId="77777777" w:rsidR="00515878" w:rsidRPr="00E71E0A" w:rsidRDefault="00515878" w:rsidP="00515878">
      <w:pPr>
        <w:spacing w:after="0" w:line="240" w:lineRule="auto"/>
        <w:ind w:left="7"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La rispondenza della proposta, in termini di caratteristiche/funzionalità tecniche, ai fini del soddisfacimento delle necessità della Stazione Appaltante;</w:t>
      </w:r>
    </w:p>
    <w:p w14:paraId="6F05416C" w14:textId="77777777" w:rsidR="00515878" w:rsidRPr="00E71E0A" w:rsidRDefault="00515878" w:rsidP="00515878">
      <w:pPr>
        <w:spacing w:after="0" w:line="240" w:lineRule="auto"/>
        <w:ind w:left="7"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Economicità: l’elemento prezzo verrà preso in considerazione laddove le relazioni tecniche vengano considerate sostanzialmente equivalenti da un punto di vista tecnico.</w:t>
      </w:r>
    </w:p>
    <w:p w14:paraId="37ABBA28" w14:textId="77777777" w:rsidR="00515878" w:rsidRPr="00E71E0A" w:rsidRDefault="00515878" w:rsidP="00515878">
      <w:pPr>
        <w:spacing w:after="0" w:line="240" w:lineRule="auto"/>
        <w:ind w:left="7" w:right="1"/>
        <w:jc w:val="both"/>
        <w:rPr>
          <w:rFonts w:ascii="Titillium Web" w:eastAsia="Times New Roman" w:hAnsi="Titillium Web" w:cstheme="minorBidi"/>
          <w:color w:val="000000" w:themeColor="text1"/>
          <w:sz w:val="18"/>
          <w:szCs w:val="18"/>
          <w:lang w:eastAsia="it-IT"/>
        </w:rPr>
      </w:pPr>
    </w:p>
    <w:p w14:paraId="521155FD" w14:textId="77777777" w:rsidR="00515878" w:rsidRPr="00E71E0A" w:rsidRDefault="00515878" w:rsidP="00515878">
      <w:pPr>
        <w:spacing w:after="0" w:line="240" w:lineRule="auto"/>
        <w:ind w:left="7"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Non saranno presi in considerazione preventivi di importo superiore a quanto stimato dalla Stazione Appaltante.</w:t>
      </w:r>
    </w:p>
    <w:p w14:paraId="7E1CB35B" w14:textId="77777777" w:rsidR="00515878" w:rsidRPr="00E71E0A" w:rsidRDefault="00515878" w:rsidP="00515878">
      <w:pPr>
        <w:spacing w:after="0" w:line="240" w:lineRule="auto"/>
        <w:ind w:left="7" w:right="1"/>
        <w:jc w:val="both"/>
        <w:rPr>
          <w:rFonts w:ascii="Titillium Web" w:eastAsia="Times New Roman" w:hAnsi="Titillium Web" w:cstheme="minorBidi"/>
          <w:color w:val="000000" w:themeColor="text1"/>
          <w:sz w:val="18"/>
          <w:szCs w:val="18"/>
          <w:lang w:eastAsia="it-IT"/>
        </w:rPr>
      </w:pPr>
    </w:p>
    <w:p w14:paraId="2E19B234" w14:textId="77777777" w:rsidR="00515878" w:rsidRPr="00E71E0A" w:rsidRDefault="00515878" w:rsidP="00515878">
      <w:pPr>
        <w:spacing w:after="0" w:line="240" w:lineRule="auto"/>
        <w:ind w:left="7"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La Stazione Appaltante procederà anche in presenza di una sola offerta pervenuta entro i termini e nelle modalità indicate nel presente avviso.</w:t>
      </w:r>
    </w:p>
    <w:p w14:paraId="2AD65061" w14:textId="77777777" w:rsidR="00515878" w:rsidRPr="0001056B" w:rsidRDefault="00515878" w:rsidP="00515878">
      <w:pPr>
        <w:spacing w:after="0" w:line="240" w:lineRule="auto"/>
        <w:ind w:left="7" w:right="1"/>
        <w:jc w:val="both"/>
        <w:rPr>
          <w:rFonts w:ascii="Titillium Web" w:eastAsia="Times New Roman" w:hAnsi="Titillium Web" w:cstheme="minorBidi"/>
          <w:color w:val="000000" w:themeColor="text1"/>
          <w:sz w:val="20"/>
          <w:szCs w:val="20"/>
          <w:highlight w:val="yellow"/>
          <w:lang w:eastAsia="it-IT"/>
        </w:rPr>
      </w:pPr>
    </w:p>
    <w:p w14:paraId="7AD66AC2" w14:textId="77777777" w:rsidR="00515878" w:rsidRPr="00E71E0A" w:rsidRDefault="00515878" w:rsidP="00515878">
      <w:pPr>
        <w:autoSpaceDE w:val="0"/>
        <w:autoSpaceDN w:val="0"/>
        <w:adjustRightInd w:val="0"/>
        <w:spacing w:after="0" w:line="240" w:lineRule="auto"/>
        <w:ind w:right="1"/>
        <w:rPr>
          <w:rFonts w:ascii="Titillium Web" w:eastAsia="Times New Roman" w:hAnsi="Titillium Web" w:cstheme="minorHAnsi"/>
          <w:b/>
          <w:color w:val="000000"/>
          <w:sz w:val="24"/>
          <w:szCs w:val="24"/>
          <w:lang w:eastAsia="it-IT"/>
        </w:rPr>
      </w:pPr>
      <w:r w:rsidRPr="00E71E0A">
        <w:rPr>
          <w:rFonts w:ascii="Titillium Web" w:eastAsia="Times New Roman" w:hAnsi="Titillium Web" w:cstheme="minorHAnsi"/>
          <w:b/>
          <w:color w:val="000000"/>
          <w:sz w:val="24"/>
          <w:szCs w:val="24"/>
          <w:lang w:eastAsia="it-IT"/>
        </w:rPr>
        <w:t>OBBLIGHI DELL’AFFIDATARIO</w:t>
      </w:r>
    </w:p>
    <w:p w14:paraId="0ECA864C" w14:textId="77777777" w:rsidR="00515878" w:rsidRPr="00A60BB5" w:rsidRDefault="00515878" w:rsidP="00515878">
      <w:pPr>
        <w:autoSpaceDE w:val="0"/>
        <w:autoSpaceDN w:val="0"/>
        <w:adjustRightInd w:val="0"/>
        <w:spacing w:after="0" w:line="240" w:lineRule="auto"/>
        <w:ind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 xml:space="preserve">La successiva fase negoziale sarà attivata tramite Trattativa Diretta su Mercato Elettronico della PA di Consip SpA (MePA), </w:t>
      </w:r>
      <w:r w:rsidRPr="00A60BB5">
        <w:rPr>
          <w:rFonts w:ascii="Titillium Web" w:eastAsia="Times New Roman" w:hAnsi="Titillium Web" w:cstheme="minorBidi"/>
          <w:color w:val="000000" w:themeColor="text1"/>
          <w:sz w:val="18"/>
          <w:szCs w:val="18"/>
          <w:lang w:eastAsia="it-IT"/>
        </w:rPr>
        <w:t>ai sensi dell’art. 50 del D.lgs. n. 36/2023.</w:t>
      </w:r>
    </w:p>
    <w:p w14:paraId="0A8EC1CB" w14:textId="77777777" w:rsidR="00515878" w:rsidRPr="00E71E0A" w:rsidRDefault="00515878" w:rsidP="00515878">
      <w:pPr>
        <w:autoSpaceDE w:val="0"/>
        <w:autoSpaceDN w:val="0"/>
        <w:adjustRightInd w:val="0"/>
        <w:spacing w:after="0" w:line="240" w:lineRule="auto"/>
        <w:ind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L’operatore economico individuato sarà tenuto, in sede di trattativa, a fornire la seguente documentazione (di cui allegati n. 1,2,2a,3,4,5,8) messa a disposizione dalla scrivente stazione appaltante e da 6 a 7 cura dell’aggiudicatario. La già menzionata documentazione dovrà essere sottoscritta digitalmente ed allegata all’offerta.</w:t>
      </w:r>
    </w:p>
    <w:p w14:paraId="21AD345B" w14:textId="77777777" w:rsidR="00515878" w:rsidRPr="00E71E0A" w:rsidRDefault="00515878" w:rsidP="00515878">
      <w:pPr>
        <w:autoSpaceDE w:val="0"/>
        <w:autoSpaceDN w:val="0"/>
        <w:adjustRightInd w:val="0"/>
        <w:spacing w:after="0" w:line="240" w:lineRule="auto"/>
        <w:ind w:right="1"/>
        <w:jc w:val="both"/>
        <w:rPr>
          <w:rFonts w:ascii="Titillium Web" w:eastAsia="Times New Roman" w:hAnsi="Titillium Web" w:cstheme="minorBidi"/>
          <w:color w:val="000000" w:themeColor="text1"/>
          <w:sz w:val="18"/>
          <w:szCs w:val="18"/>
          <w:lang w:eastAsia="it-IT"/>
        </w:rPr>
      </w:pPr>
    </w:p>
    <w:p w14:paraId="0CBE55F6" w14:textId="77777777" w:rsidR="00515878" w:rsidRPr="00E71E0A" w:rsidRDefault="00515878" w:rsidP="00515878">
      <w:pPr>
        <w:numPr>
          <w:ilvl w:val="0"/>
          <w:numId w:val="41"/>
        </w:numPr>
        <w:autoSpaceDE w:val="0"/>
        <w:autoSpaceDN w:val="0"/>
        <w:adjustRightInd w:val="0"/>
        <w:spacing w:after="0" w:line="240" w:lineRule="auto"/>
        <w:ind w:right="1"/>
        <w:jc w:val="both"/>
        <w:rPr>
          <w:rFonts w:ascii="Titillium Web" w:eastAsia="Times New Roman" w:hAnsi="Titillium Web" w:cstheme="minorBidi"/>
          <w:color w:val="000000" w:themeColor="text1"/>
          <w:sz w:val="18"/>
          <w:szCs w:val="18"/>
          <w:lang w:eastAsia="it-IT"/>
        </w:rPr>
      </w:pPr>
      <w:bookmarkStart w:id="8" w:name="_Hlk132452822"/>
      <w:r w:rsidRPr="00E71E0A">
        <w:rPr>
          <w:rFonts w:ascii="Titillium Web" w:eastAsia="Times New Roman" w:hAnsi="Titillium Web" w:cstheme="minorBidi"/>
          <w:color w:val="000000" w:themeColor="text1"/>
          <w:sz w:val="18"/>
          <w:szCs w:val="18"/>
          <w:lang w:eastAsia="it-IT"/>
        </w:rPr>
        <w:t>DGUE;</w:t>
      </w:r>
    </w:p>
    <w:p w14:paraId="7CF47C1B" w14:textId="77777777" w:rsidR="00515878" w:rsidRPr="00E71E0A" w:rsidRDefault="00515878" w:rsidP="00515878">
      <w:pPr>
        <w:numPr>
          <w:ilvl w:val="0"/>
          <w:numId w:val="41"/>
        </w:numPr>
        <w:autoSpaceDE w:val="0"/>
        <w:autoSpaceDN w:val="0"/>
        <w:adjustRightInd w:val="0"/>
        <w:spacing w:after="0" w:line="240" w:lineRule="auto"/>
        <w:ind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Dichiarazione sostitutiva integrativa al DGUE;</w:t>
      </w:r>
    </w:p>
    <w:p w14:paraId="4A4A0B6C" w14:textId="77777777" w:rsidR="00515878" w:rsidRPr="00E71E0A" w:rsidRDefault="00515878" w:rsidP="00515878">
      <w:pPr>
        <w:autoSpaceDE w:val="0"/>
        <w:autoSpaceDN w:val="0"/>
        <w:adjustRightInd w:val="0"/>
        <w:spacing w:after="0" w:line="240" w:lineRule="auto"/>
        <w:ind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 xml:space="preserve">      2a) </w:t>
      </w:r>
      <w:r>
        <w:rPr>
          <w:rFonts w:ascii="Titillium Web" w:eastAsia="Times New Roman" w:hAnsi="Titillium Web" w:cstheme="minorBidi"/>
          <w:color w:val="000000" w:themeColor="text1"/>
          <w:sz w:val="18"/>
          <w:szCs w:val="18"/>
          <w:lang w:eastAsia="it-IT"/>
        </w:rPr>
        <w:t xml:space="preserve">    </w:t>
      </w:r>
      <w:r w:rsidRPr="00E71E0A">
        <w:rPr>
          <w:rFonts w:ascii="Titillium Web" w:eastAsia="Times New Roman" w:hAnsi="Titillium Web" w:cstheme="minorBidi"/>
          <w:color w:val="000000" w:themeColor="text1"/>
          <w:sz w:val="18"/>
          <w:szCs w:val="18"/>
          <w:lang w:eastAsia="it-IT"/>
        </w:rPr>
        <w:t>Patto di integrità;</w:t>
      </w:r>
    </w:p>
    <w:p w14:paraId="15A51291" w14:textId="77777777" w:rsidR="00515878" w:rsidRPr="00E71E0A" w:rsidRDefault="00515878" w:rsidP="00515878">
      <w:pPr>
        <w:numPr>
          <w:ilvl w:val="0"/>
          <w:numId w:val="41"/>
        </w:numPr>
        <w:autoSpaceDE w:val="0"/>
        <w:autoSpaceDN w:val="0"/>
        <w:adjustRightInd w:val="0"/>
        <w:spacing w:after="0" w:line="240" w:lineRule="auto"/>
        <w:ind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Dichiarazione DNSH;</w:t>
      </w:r>
    </w:p>
    <w:p w14:paraId="78C60077" w14:textId="77777777" w:rsidR="00515878" w:rsidRPr="00E71E0A" w:rsidRDefault="00515878" w:rsidP="00515878">
      <w:pPr>
        <w:numPr>
          <w:ilvl w:val="0"/>
          <w:numId w:val="41"/>
        </w:numPr>
        <w:autoSpaceDE w:val="0"/>
        <w:autoSpaceDN w:val="0"/>
        <w:adjustRightInd w:val="0"/>
        <w:spacing w:after="0" w:line="240" w:lineRule="auto"/>
        <w:ind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Comunicazione cc dedicato ai sensi della Legge 136/2010;</w:t>
      </w:r>
    </w:p>
    <w:p w14:paraId="5F0CD37C" w14:textId="77777777" w:rsidR="00515878" w:rsidRPr="00E71E0A" w:rsidRDefault="00515878" w:rsidP="00515878">
      <w:pPr>
        <w:numPr>
          <w:ilvl w:val="0"/>
          <w:numId w:val="41"/>
        </w:numPr>
        <w:autoSpaceDE w:val="0"/>
        <w:autoSpaceDN w:val="0"/>
        <w:adjustRightInd w:val="0"/>
        <w:spacing w:after="0" w:line="240" w:lineRule="auto"/>
        <w:ind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Assolvimento dell’imposta di bollo;</w:t>
      </w:r>
    </w:p>
    <w:p w14:paraId="0A1A1870" w14:textId="6D4CD057" w:rsidR="00515878" w:rsidRPr="00E71E0A" w:rsidRDefault="00515878" w:rsidP="00515878">
      <w:pPr>
        <w:numPr>
          <w:ilvl w:val="0"/>
          <w:numId w:val="41"/>
        </w:numPr>
        <w:spacing w:after="0" w:line="240" w:lineRule="auto"/>
        <w:ind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PassOE (Servizio FVOE - ANAC)</w:t>
      </w:r>
      <w:r w:rsidR="00972F14">
        <w:rPr>
          <w:rFonts w:ascii="Titillium Web" w:eastAsia="Times New Roman" w:hAnsi="Titillium Web" w:cstheme="minorBidi"/>
          <w:color w:val="000000" w:themeColor="text1"/>
          <w:sz w:val="18"/>
          <w:szCs w:val="18"/>
          <w:lang w:eastAsia="it-IT"/>
        </w:rPr>
        <w:t>;</w:t>
      </w:r>
    </w:p>
    <w:p w14:paraId="262832BE" w14:textId="77777777" w:rsidR="00515878" w:rsidRPr="00E71E0A" w:rsidRDefault="00515878" w:rsidP="00515878">
      <w:pPr>
        <w:pStyle w:val="ListParagraph"/>
        <w:numPr>
          <w:ilvl w:val="0"/>
          <w:numId w:val="41"/>
        </w:numPr>
        <w:spacing w:after="0" w:line="240" w:lineRule="auto"/>
        <w:ind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 xml:space="preserve">Dichiarazione di impegno a fidejussione definitiva </w:t>
      </w:r>
    </w:p>
    <w:p w14:paraId="6F2F6362" w14:textId="77777777" w:rsidR="00515878" w:rsidRPr="00E71E0A" w:rsidRDefault="00515878" w:rsidP="00515878">
      <w:pPr>
        <w:pStyle w:val="ListParagraph"/>
        <w:numPr>
          <w:ilvl w:val="0"/>
          <w:numId w:val="41"/>
        </w:numPr>
        <w:spacing w:after="0" w:line="240" w:lineRule="auto"/>
        <w:ind w:right="1"/>
        <w:jc w:val="both"/>
        <w:rPr>
          <w:rFonts w:ascii="Titillium Web" w:eastAsia="Times New Roman" w:hAnsi="Titillium Web" w:cstheme="minorBidi"/>
          <w:color w:val="000000" w:themeColor="text1"/>
          <w:sz w:val="18"/>
          <w:szCs w:val="18"/>
          <w:lang w:eastAsia="it-IT"/>
        </w:rPr>
      </w:pPr>
      <w:r w:rsidRPr="00E71E0A">
        <w:rPr>
          <w:rFonts w:ascii="Titillium Web" w:eastAsia="Times New Roman" w:hAnsi="Titillium Web" w:cstheme="minorBidi"/>
          <w:color w:val="000000" w:themeColor="text1"/>
          <w:sz w:val="18"/>
          <w:szCs w:val="18"/>
          <w:lang w:eastAsia="it-IT"/>
        </w:rPr>
        <w:t>Dichiarazione di cui al DPCM 187/1991</w:t>
      </w:r>
    </w:p>
    <w:p w14:paraId="0804A7EE" w14:textId="77777777" w:rsidR="00515878" w:rsidRPr="00E71E0A" w:rsidRDefault="00515878" w:rsidP="00515878">
      <w:pPr>
        <w:spacing w:after="0" w:line="240" w:lineRule="auto"/>
        <w:ind w:right="1"/>
        <w:jc w:val="both"/>
        <w:rPr>
          <w:rFonts w:ascii="Titillium Web" w:eastAsia="Arial" w:hAnsi="Titillium Web" w:cstheme="minorHAnsi"/>
          <w:bCs/>
          <w:color w:val="000000" w:themeColor="text1"/>
          <w:sz w:val="18"/>
          <w:szCs w:val="18"/>
          <w:lang w:eastAsia="it-IT"/>
        </w:rPr>
      </w:pPr>
    </w:p>
    <w:p w14:paraId="35AB1CB8" w14:textId="77777777" w:rsidR="00515878" w:rsidRPr="00E71E0A" w:rsidRDefault="00515878" w:rsidP="00515878">
      <w:pPr>
        <w:spacing w:after="0" w:line="240" w:lineRule="auto"/>
        <w:ind w:right="1"/>
        <w:jc w:val="both"/>
        <w:rPr>
          <w:rFonts w:ascii="Titillium Web" w:eastAsia="Arial" w:hAnsi="Titillium Web" w:cstheme="minorHAnsi"/>
          <w:bCs/>
          <w:color w:val="000000" w:themeColor="text1"/>
          <w:sz w:val="18"/>
          <w:szCs w:val="18"/>
          <w:lang w:eastAsia="it-IT"/>
        </w:rPr>
      </w:pPr>
      <w:r w:rsidRPr="00E71E0A">
        <w:rPr>
          <w:rFonts w:ascii="Titillium Web" w:eastAsia="Arial" w:hAnsi="Titillium Web" w:cstheme="minorHAnsi"/>
          <w:bCs/>
          <w:color w:val="000000" w:themeColor="text1"/>
          <w:sz w:val="18"/>
          <w:szCs w:val="18"/>
          <w:lang w:eastAsia="it-IT"/>
        </w:rPr>
        <w:t>Si specifica inoltre che:</w:t>
      </w:r>
    </w:p>
    <w:p w14:paraId="00798EB9" w14:textId="77777777" w:rsidR="00515878" w:rsidRPr="00E71E0A" w:rsidRDefault="00515878" w:rsidP="00515878">
      <w:pPr>
        <w:spacing w:after="0" w:line="240" w:lineRule="auto"/>
        <w:ind w:right="1"/>
        <w:jc w:val="both"/>
        <w:rPr>
          <w:rFonts w:ascii="Titillium Web" w:eastAsia="Arial" w:hAnsi="Titillium Web" w:cstheme="minorHAnsi"/>
          <w:bCs/>
          <w:color w:val="000000" w:themeColor="text1"/>
          <w:sz w:val="18"/>
          <w:szCs w:val="18"/>
          <w:lang w:eastAsia="it-IT"/>
        </w:rPr>
      </w:pPr>
      <w:r w:rsidRPr="00E71E0A">
        <w:rPr>
          <w:rFonts w:ascii="Titillium Web" w:eastAsia="Arial" w:hAnsi="Titillium Web" w:cstheme="minorHAnsi"/>
          <w:bCs/>
          <w:color w:val="000000" w:themeColor="text1"/>
          <w:sz w:val="18"/>
          <w:szCs w:val="18"/>
          <w:lang w:eastAsia="it-IT"/>
        </w:rPr>
        <w:t>- La stipula del contratto avverrà a seguito di TD sulla piattaforma Mepa (Consip);</w:t>
      </w:r>
    </w:p>
    <w:p w14:paraId="5264F472" w14:textId="77777777" w:rsidR="00515878" w:rsidRPr="00E71E0A" w:rsidRDefault="00515878" w:rsidP="00515878">
      <w:pPr>
        <w:spacing w:after="0" w:line="240" w:lineRule="auto"/>
        <w:ind w:right="1"/>
        <w:jc w:val="both"/>
        <w:rPr>
          <w:rFonts w:ascii="Titillium Web" w:eastAsia="Arial" w:hAnsi="Titillium Web" w:cstheme="minorHAnsi"/>
          <w:bCs/>
          <w:color w:val="000000" w:themeColor="text1"/>
          <w:sz w:val="18"/>
          <w:szCs w:val="18"/>
          <w:lang w:eastAsia="it-IT"/>
        </w:rPr>
      </w:pPr>
      <w:r w:rsidRPr="00E71E0A">
        <w:rPr>
          <w:rFonts w:ascii="Titillium Web" w:eastAsia="Arial" w:hAnsi="Titillium Web" w:cstheme="minorHAnsi"/>
          <w:bCs/>
          <w:color w:val="000000" w:themeColor="text1"/>
          <w:sz w:val="18"/>
          <w:szCs w:val="18"/>
          <w:lang w:eastAsia="it-IT"/>
        </w:rPr>
        <w:t xml:space="preserve">- ai sensi del D.P.R. n. 642 del 26 ottobre 1972, tutte le spese inerenti e conseguenti il contratto (buono d’ordine), ivi incluse le spese di bollo, sono a totale carico dell’aggiudicatario. È onere, pertanto, dell’affidatario garantire il rispetto della normativa in materia di imposta di bollo e </w:t>
      </w:r>
      <w:r w:rsidRPr="00A865CE">
        <w:rPr>
          <w:rFonts w:ascii="Titillium Web" w:eastAsia="Arial" w:hAnsi="Titillium Web" w:cstheme="minorHAnsi"/>
          <w:bCs/>
          <w:color w:val="000000" w:themeColor="text1"/>
          <w:sz w:val="18"/>
          <w:szCs w:val="18"/>
          <w:lang w:eastAsia="it-IT"/>
        </w:rPr>
        <w:t xml:space="preserve">registro, ivi compresa l’apposizione nelle forme previste dalla </w:t>
      </w:r>
      <w:r w:rsidRPr="00972F14">
        <w:rPr>
          <w:rFonts w:ascii="Titillium Web" w:eastAsia="Arial" w:hAnsi="Titillium Web" w:cstheme="minorHAnsi"/>
          <w:bCs/>
          <w:color w:val="000000" w:themeColor="text1"/>
          <w:sz w:val="18"/>
          <w:szCs w:val="18"/>
          <w:lang w:eastAsia="it-IT"/>
        </w:rPr>
        <w:t xml:space="preserve">legge, </w:t>
      </w:r>
      <w:r w:rsidRPr="00972F14">
        <w:rPr>
          <w:rStyle w:val="ui-provider"/>
          <w:rFonts w:ascii="Titillium Web" w:hAnsi="Titillium Web"/>
          <w:sz w:val="18"/>
          <w:szCs w:val="18"/>
        </w:rPr>
        <w:t>ai sensi dell’ art.18, comma 10, allegato I.4. al Codice appalti pubblici: “Imposta di bollo relativa alla stipulazione del contratto”, l’importo dell’imposta viene stabilito per fasce di valore dell’affidamento</w:t>
      </w:r>
      <w:r w:rsidRPr="00972F14">
        <w:rPr>
          <w:rFonts w:ascii="Titillium Web" w:eastAsia="Arial" w:hAnsi="Titillium Web" w:cstheme="minorHAnsi"/>
          <w:bCs/>
          <w:color w:val="000000" w:themeColor="text1"/>
          <w:sz w:val="18"/>
          <w:szCs w:val="18"/>
          <w:lang w:eastAsia="it-IT"/>
        </w:rPr>
        <w:t>, in mancanza il contratto non si intenderà produttivo di effetti</w:t>
      </w:r>
      <w:r w:rsidRPr="00E71E0A">
        <w:rPr>
          <w:rFonts w:ascii="Titillium Web" w:eastAsia="Arial" w:hAnsi="Titillium Web" w:cstheme="minorHAnsi"/>
          <w:bCs/>
          <w:color w:val="000000" w:themeColor="text1"/>
          <w:sz w:val="18"/>
          <w:szCs w:val="18"/>
          <w:lang w:eastAsia="it-IT"/>
        </w:rPr>
        <w:t>;</w:t>
      </w:r>
    </w:p>
    <w:p w14:paraId="06029DD3" w14:textId="77777777" w:rsidR="00515878" w:rsidRPr="00E71E0A" w:rsidRDefault="00515878" w:rsidP="00515878">
      <w:pPr>
        <w:spacing w:after="0" w:line="240" w:lineRule="auto"/>
        <w:ind w:right="1"/>
        <w:jc w:val="both"/>
        <w:rPr>
          <w:rFonts w:ascii="Titillium Web" w:eastAsia="Arial" w:hAnsi="Titillium Web" w:cstheme="minorHAnsi"/>
          <w:bCs/>
          <w:color w:val="000000" w:themeColor="text1"/>
          <w:sz w:val="18"/>
          <w:szCs w:val="18"/>
          <w:lang w:eastAsia="it-IT"/>
        </w:rPr>
      </w:pPr>
      <w:r w:rsidRPr="00E71E0A">
        <w:rPr>
          <w:rFonts w:ascii="Titillium Web" w:eastAsia="Arial" w:hAnsi="Titillium Web" w:cstheme="minorHAnsi"/>
          <w:bCs/>
          <w:color w:val="000000" w:themeColor="text1"/>
          <w:sz w:val="18"/>
          <w:szCs w:val="18"/>
          <w:lang w:eastAsia="it-IT"/>
        </w:rPr>
        <w:t>- l’ aggiudicatario è tenuto, a sua cura, alla redazione di tutti i documenti come precedentemente dettagliati che dovranno essere allegati a pena di esclusione  alla Trattativa Diretta;</w:t>
      </w:r>
    </w:p>
    <w:p w14:paraId="2D6D4F84" w14:textId="77777777" w:rsidR="00515878" w:rsidRPr="00E71E0A" w:rsidRDefault="00515878" w:rsidP="00515878">
      <w:pPr>
        <w:tabs>
          <w:tab w:val="left" w:pos="426"/>
        </w:tabs>
        <w:autoSpaceDE w:val="0"/>
        <w:autoSpaceDN w:val="0"/>
        <w:adjustRightInd w:val="0"/>
        <w:spacing w:after="0" w:line="240" w:lineRule="auto"/>
        <w:ind w:right="1"/>
        <w:jc w:val="both"/>
        <w:rPr>
          <w:rFonts w:ascii="Titillium Web" w:eastAsia="Arial" w:hAnsi="Titillium Web" w:cstheme="minorHAnsi"/>
          <w:bCs/>
          <w:color w:val="000000" w:themeColor="text1"/>
          <w:sz w:val="18"/>
          <w:szCs w:val="18"/>
          <w:lang w:eastAsia="it-IT"/>
        </w:rPr>
      </w:pPr>
      <w:r w:rsidRPr="00E71E0A">
        <w:rPr>
          <w:rFonts w:ascii="Titillium Web" w:eastAsia="Arial" w:hAnsi="Titillium Web" w:cstheme="minorHAnsi"/>
          <w:bCs/>
          <w:color w:val="000000" w:themeColor="text1"/>
          <w:sz w:val="18"/>
          <w:szCs w:val="18"/>
          <w:lang w:eastAsia="it-IT"/>
        </w:rPr>
        <w:t>- l’aggiudicatario dovrà fornire documentazione fotografica in pdf dei beni oggetto della fornitura</w:t>
      </w:r>
    </w:p>
    <w:p w14:paraId="559046B4" w14:textId="77777777" w:rsidR="00515878" w:rsidRPr="00FF0B52" w:rsidRDefault="00515878" w:rsidP="00515878">
      <w:pPr>
        <w:tabs>
          <w:tab w:val="left" w:pos="426"/>
        </w:tabs>
        <w:autoSpaceDE w:val="0"/>
        <w:autoSpaceDN w:val="0"/>
        <w:adjustRightInd w:val="0"/>
        <w:spacing w:after="0" w:line="240" w:lineRule="auto"/>
        <w:ind w:right="1"/>
        <w:jc w:val="both"/>
        <w:rPr>
          <w:rFonts w:ascii="Titillium Web" w:eastAsia="Arial" w:hAnsi="Titillium Web" w:cstheme="minorHAnsi"/>
          <w:bCs/>
          <w:color w:val="000000" w:themeColor="text1"/>
          <w:sz w:val="18"/>
          <w:szCs w:val="18"/>
          <w:lang w:eastAsia="it-IT"/>
        </w:rPr>
      </w:pPr>
      <w:r w:rsidRPr="00E71E0A">
        <w:rPr>
          <w:rFonts w:ascii="Titillium Web" w:eastAsia="Arial" w:hAnsi="Titillium Web" w:cstheme="minorHAnsi"/>
          <w:bCs/>
          <w:color w:val="000000" w:themeColor="text1"/>
          <w:sz w:val="18"/>
          <w:szCs w:val="18"/>
          <w:lang w:eastAsia="it-IT"/>
        </w:rPr>
        <w:t xml:space="preserve">- l’aggiudicatario è tenuto al rispetto dei tempi di consegna e di tutte </w:t>
      </w:r>
      <w:r w:rsidRPr="00FF0B52">
        <w:rPr>
          <w:rFonts w:ascii="Titillium Web" w:eastAsia="Arial" w:hAnsi="Titillium Web" w:cstheme="minorHAnsi"/>
          <w:bCs/>
          <w:color w:val="000000" w:themeColor="text1"/>
          <w:sz w:val="18"/>
          <w:szCs w:val="18"/>
          <w:lang w:eastAsia="it-IT"/>
        </w:rPr>
        <w:t>le condizioni come dettagliate nell’allegato A</w:t>
      </w:r>
      <w:bookmarkEnd w:id="8"/>
    </w:p>
    <w:p w14:paraId="1AF559BC" w14:textId="77777777" w:rsidR="00515878" w:rsidRPr="00FF0B52" w:rsidRDefault="00515878" w:rsidP="00515878">
      <w:pPr>
        <w:autoSpaceDE w:val="0"/>
        <w:autoSpaceDN w:val="0"/>
        <w:adjustRightInd w:val="0"/>
        <w:spacing w:after="0" w:line="240" w:lineRule="auto"/>
        <w:ind w:right="1"/>
        <w:jc w:val="both"/>
        <w:rPr>
          <w:rFonts w:eastAsia="Arial" w:cstheme="minorBidi"/>
          <w:lang w:eastAsia="it-IT"/>
        </w:rPr>
      </w:pPr>
    </w:p>
    <w:p w14:paraId="51803BD1" w14:textId="77777777" w:rsidR="00515878" w:rsidRPr="00FF0B52" w:rsidRDefault="00515878" w:rsidP="00515878">
      <w:pPr>
        <w:autoSpaceDE w:val="0"/>
        <w:autoSpaceDN w:val="0"/>
        <w:adjustRightInd w:val="0"/>
        <w:spacing w:after="0" w:line="240" w:lineRule="auto"/>
        <w:ind w:right="1"/>
        <w:rPr>
          <w:rFonts w:ascii="Titillium Web" w:eastAsia="Times New Roman" w:hAnsi="Titillium Web" w:cstheme="minorHAnsi"/>
          <w:b/>
          <w:color w:val="000000"/>
          <w:sz w:val="24"/>
          <w:szCs w:val="24"/>
          <w:lang w:eastAsia="it-IT"/>
        </w:rPr>
      </w:pPr>
      <w:r w:rsidRPr="00FF0B52">
        <w:rPr>
          <w:rFonts w:ascii="Titillium Web" w:eastAsia="Times New Roman" w:hAnsi="Titillium Web" w:cstheme="minorHAnsi"/>
          <w:b/>
          <w:color w:val="000000"/>
          <w:sz w:val="24"/>
          <w:szCs w:val="24"/>
          <w:lang w:eastAsia="it-IT"/>
        </w:rPr>
        <w:t>SUBAPPALTO / CESSIONE DEL CONTRATTO</w:t>
      </w:r>
    </w:p>
    <w:p w14:paraId="3F839572" w14:textId="77777777" w:rsidR="00515878" w:rsidRPr="0001056B" w:rsidRDefault="00515878" w:rsidP="00515878">
      <w:pPr>
        <w:spacing w:after="0" w:line="240" w:lineRule="auto"/>
        <w:jc w:val="both"/>
        <w:rPr>
          <w:rFonts w:ascii="Titillium Web" w:eastAsia="Times New Roman" w:hAnsi="Titillium Web" w:cstheme="minorBidi"/>
          <w:color w:val="000000" w:themeColor="text1"/>
          <w:sz w:val="18"/>
          <w:szCs w:val="18"/>
          <w:highlight w:val="yellow"/>
          <w:lang w:eastAsia="it-IT"/>
        </w:rPr>
      </w:pPr>
      <w:r w:rsidRPr="00FF0B52">
        <w:rPr>
          <w:rFonts w:ascii="Titillium Web" w:eastAsia="Times New Roman" w:hAnsi="Titillium Web" w:cstheme="minorBidi"/>
          <w:color w:val="000000" w:themeColor="text1"/>
          <w:sz w:val="18"/>
          <w:szCs w:val="18"/>
          <w:lang w:eastAsia="it-IT"/>
        </w:rPr>
        <w:t>In considerazione delle specifiche caratteristiche della fornitura di cui al presente avviso, non è consentito il subappalto.</w:t>
      </w:r>
      <w:r w:rsidRPr="00E71E0A">
        <w:rPr>
          <w:rFonts w:ascii="Titillium Web" w:eastAsia="Times New Roman" w:hAnsi="Titillium Web" w:cstheme="minorBidi"/>
          <w:color w:val="000000" w:themeColor="text1"/>
          <w:sz w:val="18"/>
          <w:szCs w:val="18"/>
          <w:lang w:eastAsia="it-IT"/>
        </w:rPr>
        <w:t xml:space="preserve"> Inoltre, non si potrà a qualsiasi titolo, cedere in tutto o in parte la fornitura ad altra impresa. Nel caso di contravvenzione al divieto, la cessione si intenderà nulla e di nessun effetto nei rapporti con la Stazione Appaltante.</w:t>
      </w:r>
    </w:p>
    <w:p w14:paraId="36090C0F" w14:textId="77777777" w:rsidR="00515878" w:rsidRPr="0001056B" w:rsidRDefault="00515878" w:rsidP="00515878">
      <w:pPr>
        <w:spacing w:after="0" w:line="240" w:lineRule="auto"/>
        <w:ind w:right="1"/>
        <w:rPr>
          <w:rFonts w:eastAsia="Arial" w:cstheme="minorHAnsi"/>
          <w:b/>
          <w:highlight w:val="yellow"/>
          <w:lang w:eastAsia="it-IT"/>
        </w:rPr>
      </w:pPr>
    </w:p>
    <w:p w14:paraId="14206688" w14:textId="77777777" w:rsidR="00515878" w:rsidRPr="0001056B" w:rsidRDefault="00515878" w:rsidP="00515878">
      <w:pPr>
        <w:spacing w:after="0" w:line="240" w:lineRule="auto"/>
        <w:ind w:right="1"/>
        <w:rPr>
          <w:rFonts w:eastAsia="Arial" w:cstheme="minorHAnsi"/>
          <w:b/>
          <w:highlight w:val="yellow"/>
          <w:lang w:eastAsia="it-IT"/>
        </w:rPr>
      </w:pPr>
    </w:p>
    <w:p w14:paraId="3A0A2308" w14:textId="77777777" w:rsidR="00515878" w:rsidRPr="00CE5457" w:rsidRDefault="00515878" w:rsidP="00515878">
      <w:pPr>
        <w:spacing w:after="0" w:line="240" w:lineRule="auto"/>
        <w:ind w:right="1"/>
        <w:rPr>
          <w:rFonts w:eastAsia="Arial" w:cstheme="minorHAnsi"/>
          <w:b/>
          <w:lang w:eastAsia="it-IT"/>
        </w:rPr>
      </w:pPr>
      <w:r w:rsidRPr="00CE5457">
        <w:rPr>
          <w:rFonts w:ascii="Titillium Web" w:eastAsia="Times New Roman" w:hAnsi="Titillium Web" w:cstheme="minorHAnsi"/>
          <w:b/>
          <w:color w:val="000000"/>
          <w:sz w:val="24"/>
          <w:szCs w:val="24"/>
          <w:lang w:eastAsia="it-IT"/>
        </w:rPr>
        <w:t>CHIARIMENTI</w:t>
      </w:r>
    </w:p>
    <w:p w14:paraId="31EEC984" w14:textId="370EB70B" w:rsidR="00515878" w:rsidRPr="00873CE3" w:rsidRDefault="00515878" w:rsidP="00515878">
      <w:pPr>
        <w:spacing w:after="0" w:line="240" w:lineRule="auto"/>
        <w:ind w:right="1"/>
        <w:jc w:val="both"/>
        <w:rPr>
          <w:rFonts w:ascii="Titillium Web" w:eastAsia="Arial" w:hAnsi="Titillium Web" w:cstheme="minorHAnsi"/>
          <w:bCs/>
          <w:color w:val="000000" w:themeColor="text1"/>
          <w:sz w:val="18"/>
          <w:szCs w:val="18"/>
          <w:lang w:eastAsia="it-IT"/>
        </w:rPr>
      </w:pPr>
      <w:r w:rsidRPr="00CE5457">
        <w:rPr>
          <w:rFonts w:ascii="Titillium Web" w:eastAsia="Times New Roman" w:hAnsi="Titillium Web" w:cstheme="minorBidi"/>
          <w:color w:val="000000" w:themeColor="text1"/>
          <w:sz w:val="18"/>
          <w:szCs w:val="18"/>
          <w:lang w:eastAsia="it-IT"/>
        </w:rPr>
        <w:t xml:space="preserve">Le eventuali richieste di informazioni e/o chiarimenti anche di natura tecnico scientifica potranno essere inoltrate via PEC  al richiedente </w:t>
      </w:r>
      <w:hyperlink r:id="rId11" w:history="1">
        <w:r w:rsidR="00F5131E" w:rsidRPr="00010A16">
          <w:rPr>
            <w:rStyle w:val="Hyperlink"/>
            <w:rFonts w:ascii="Titillium Web" w:eastAsia="Times New Roman" w:hAnsi="Titillium Web"/>
            <w:sz w:val="18"/>
            <w:szCs w:val="18"/>
            <w:lang w:eastAsia="it-IT"/>
          </w:rPr>
          <w:t>mariamichela.corsaro@</w:t>
        </w:r>
        <w:r w:rsidR="00F5131E" w:rsidRPr="00010A16">
          <w:rPr>
            <w:rStyle w:val="Hyperlink"/>
            <w:rFonts w:ascii="Titillium Web" w:eastAsia="Times New Roman" w:hAnsi="Titillium Web" w:cstheme="minorBidi"/>
            <w:sz w:val="18"/>
            <w:szCs w:val="18"/>
            <w:lang w:eastAsia="it-IT"/>
          </w:rPr>
          <w:t>personalepec.unina.it</w:t>
        </w:r>
      </w:hyperlink>
      <w:r w:rsidRPr="00CE5457">
        <w:rPr>
          <w:rFonts w:ascii="Titillium Web" w:eastAsia="Times New Roman" w:hAnsi="Titillium Web" w:cstheme="minorBidi"/>
          <w:color w:val="000000" w:themeColor="text1"/>
          <w:sz w:val="18"/>
          <w:szCs w:val="18"/>
          <w:lang w:eastAsia="it-IT"/>
        </w:rPr>
        <w:t xml:space="preserve">  e in cc </w:t>
      </w:r>
      <w:hyperlink r:id="rId12" w:history="1">
        <w:r w:rsidRPr="00CE5457">
          <w:rPr>
            <w:rStyle w:val="Hyperlink"/>
            <w:rFonts w:ascii="Titillium Web" w:eastAsia="Times New Roman" w:hAnsi="Titillium Web" w:cstheme="minorBidi"/>
            <w:sz w:val="18"/>
            <w:szCs w:val="18"/>
            <w:lang w:eastAsia="it-IT"/>
          </w:rPr>
          <w:t>dip.scienze-chimiche@pec.unina.it</w:t>
        </w:r>
      </w:hyperlink>
      <w:r w:rsidRPr="00CE5457">
        <w:rPr>
          <w:rFonts w:ascii="Titillium Web" w:eastAsia="Times New Roman" w:hAnsi="Titillium Web" w:cstheme="minorBidi"/>
          <w:color w:val="000000" w:themeColor="text1"/>
          <w:sz w:val="18"/>
          <w:szCs w:val="18"/>
          <w:lang w:eastAsia="it-IT"/>
        </w:rPr>
        <w:t xml:space="preserve">  a partire dalla data di pubblicazione del presente avviso ed </w:t>
      </w:r>
      <w:r w:rsidRPr="00873CE3">
        <w:rPr>
          <w:rFonts w:ascii="Titillium Web" w:eastAsia="Arial" w:hAnsi="Titillium Web" w:cstheme="minorHAnsi"/>
          <w:bCs/>
          <w:color w:val="000000" w:themeColor="text1"/>
          <w:sz w:val="18"/>
          <w:szCs w:val="18"/>
          <w:lang w:eastAsia="it-IT"/>
        </w:rPr>
        <w:t xml:space="preserve">entro </w:t>
      </w:r>
      <w:r w:rsidR="00873CE3">
        <w:rPr>
          <w:rFonts w:ascii="Titillium Web" w:eastAsia="Arial" w:hAnsi="Titillium Web" w:cstheme="minorHAnsi"/>
          <w:bCs/>
          <w:color w:val="000000" w:themeColor="text1"/>
          <w:sz w:val="18"/>
          <w:szCs w:val="18"/>
          <w:lang w:eastAsia="it-IT"/>
        </w:rPr>
        <w:t xml:space="preserve">il giorno </w:t>
      </w:r>
      <w:r w:rsidR="00C041A6">
        <w:rPr>
          <w:rFonts w:ascii="Titillium Web" w:eastAsia="Arial" w:hAnsi="Titillium Web" w:cstheme="minorHAnsi"/>
          <w:bCs/>
          <w:color w:val="000000" w:themeColor="text1"/>
          <w:sz w:val="18"/>
          <w:szCs w:val="18"/>
          <w:lang w:eastAsia="it-IT"/>
        </w:rPr>
        <w:t xml:space="preserve"> </w:t>
      </w:r>
      <w:r w:rsidR="00C041A6" w:rsidRPr="00F5131E">
        <w:rPr>
          <w:rFonts w:ascii="Titillium Web" w:eastAsia="Arial" w:hAnsi="Titillium Web" w:cstheme="minorHAnsi"/>
          <w:b/>
          <w:color w:val="000000" w:themeColor="text1"/>
          <w:sz w:val="18"/>
          <w:szCs w:val="18"/>
          <w:lang w:eastAsia="it-IT"/>
        </w:rPr>
        <w:t>05 febbraio</w:t>
      </w:r>
      <w:r w:rsidRPr="00F5131E">
        <w:rPr>
          <w:rFonts w:ascii="Titillium Web" w:eastAsia="Arial" w:hAnsi="Titillium Web" w:cstheme="minorHAnsi"/>
          <w:b/>
          <w:color w:val="000000" w:themeColor="text1"/>
          <w:sz w:val="18"/>
          <w:szCs w:val="18"/>
          <w:lang w:eastAsia="it-IT"/>
        </w:rPr>
        <w:t xml:space="preserve"> 202</w:t>
      </w:r>
      <w:r w:rsidR="00C041A6" w:rsidRPr="00F5131E">
        <w:rPr>
          <w:rFonts w:ascii="Titillium Web" w:eastAsia="Arial" w:hAnsi="Titillium Web" w:cstheme="minorHAnsi"/>
          <w:b/>
          <w:color w:val="000000" w:themeColor="text1"/>
          <w:sz w:val="18"/>
          <w:szCs w:val="18"/>
          <w:lang w:eastAsia="it-IT"/>
        </w:rPr>
        <w:t>4</w:t>
      </w:r>
      <w:r w:rsidRPr="00F5131E">
        <w:rPr>
          <w:rFonts w:ascii="Titillium Web" w:eastAsia="Arial" w:hAnsi="Titillium Web" w:cstheme="minorHAnsi"/>
          <w:b/>
          <w:color w:val="000000" w:themeColor="text1"/>
          <w:sz w:val="18"/>
          <w:szCs w:val="18"/>
          <w:lang w:eastAsia="it-IT"/>
        </w:rPr>
        <w:t xml:space="preserve"> ore 12:00</w:t>
      </w:r>
      <w:r w:rsidRPr="000E6EB8">
        <w:rPr>
          <w:rFonts w:ascii="Titillium Web" w:eastAsia="Arial" w:hAnsi="Titillium Web" w:cstheme="minorHAnsi"/>
          <w:bCs/>
          <w:color w:val="000000" w:themeColor="text1"/>
          <w:sz w:val="18"/>
          <w:szCs w:val="18"/>
          <w:lang w:eastAsia="it-IT"/>
        </w:rPr>
        <w:t>.</w:t>
      </w:r>
      <w:r w:rsidRPr="00873CE3">
        <w:rPr>
          <w:rFonts w:ascii="Titillium Web" w:eastAsia="Arial" w:hAnsi="Titillium Web" w:cstheme="minorHAnsi"/>
          <w:bCs/>
          <w:color w:val="000000" w:themeColor="text1"/>
          <w:sz w:val="18"/>
          <w:szCs w:val="18"/>
          <w:lang w:eastAsia="it-IT"/>
        </w:rPr>
        <w:t xml:space="preserve"> </w:t>
      </w:r>
    </w:p>
    <w:p w14:paraId="30B59E1A" w14:textId="032C7185" w:rsidR="00515878" w:rsidRPr="00CE5457" w:rsidRDefault="00515878" w:rsidP="00515878">
      <w:pPr>
        <w:spacing w:after="0" w:line="240" w:lineRule="auto"/>
        <w:ind w:right="1"/>
        <w:jc w:val="both"/>
        <w:rPr>
          <w:rFonts w:ascii="Titillium Web" w:eastAsia="Times New Roman" w:hAnsi="Titillium Web" w:cstheme="minorBidi"/>
          <w:color w:val="000000" w:themeColor="text1"/>
          <w:sz w:val="18"/>
          <w:szCs w:val="18"/>
          <w:lang w:eastAsia="it-IT"/>
        </w:rPr>
      </w:pPr>
      <w:r w:rsidRPr="00CE5457">
        <w:rPr>
          <w:rFonts w:ascii="Titillium Web" w:eastAsia="Times New Roman" w:hAnsi="Titillium Web" w:cstheme="minorBidi"/>
          <w:color w:val="000000" w:themeColor="text1"/>
          <w:sz w:val="18"/>
          <w:szCs w:val="18"/>
          <w:lang w:eastAsia="it-IT"/>
        </w:rPr>
        <w:t>Nell’oggetto della PEC dovrà essere indicato il seguente testo “</w:t>
      </w:r>
      <w:r w:rsidRPr="00CE5457">
        <w:rPr>
          <w:rFonts w:ascii="Titillium Web" w:eastAsia="Times New Roman" w:hAnsi="Titillium Web" w:cstheme="minorBidi"/>
          <w:b/>
          <w:bCs/>
          <w:color w:val="000000" w:themeColor="text1"/>
          <w:sz w:val="18"/>
          <w:szCs w:val="18"/>
          <w:lang w:eastAsia="it-IT"/>
        </w:rPr>
        <w:t>INDAGINE ESPLORATIVA DI MERCATO Riferimento N° PNRR_DSC_</w:t>
      </w:r>
      <w:r w:rsidR="00C041A6">
        <w:rPr>
          <w:rFonts w:ascii="Titillium Web" w:eastAsia="Times New Roman" w:hAnsi="Titillium Web" w:cstheme="minorBidi"/>
          <w:b/>
          <w:bCs/>
          <w:color w:val="000000" w:themeColor="text1"/>
          <w:sz w:val="18"/>
          <w:szCs w:val="18"/>
          <w:lang w:eastAsia="it-IT"/>
        </w:rPr>
        <w:t>01</w:t>
      </w:r>
      <w:r w:rsidRPr="00CE5457">
        <w:rPr>
          <w:rFonts w:ascii="Titillium Web" w:eastAsia="Times New Roman" w:hAnsi="Titillium Web" w:cstheme="minorBidi"/>
          <w:b/>
          <w:bCs/>
          <w:color w:val="000000" w:themeColor="text1"/>
          <w:sz w:val="18"/>
          <w:szCs w:val="18"/>
          <w:lang w:eastAsia="it-IT"/>
        </w:rPr>
        <w:t>_202</w:t>
      </w:r>
      <w:r w:rsidR="00C041A6">
        <w:rPr>
          <w:rFonts w:ascii="Titillium Web" w:eastAsia="Times New Roman" w:hAnsi="Titillium Web" w:cstheme="minorBidi"/>
          <w:b/>
          <w:bCs/>
          <w:color w:val="000000" w:themeColor="text1"/>
          <w:sz w:val="18"/>
          <w:szCs w:val="18"/>
          <w:lang w:eastAsia="it-IT"/>
        </w:rPr>
        <w:t>4</w:t>
      </w:r>
      <w:r w:rsidRPr="00CE5457">
        <w:rPr>
          <w:rFonts w:ascii="Titillium Web" w:eastAsia="Times New Roman" w:hAnsi="Titillium Web" w:cstheme="minorBidi"/>
          <w:color w:val="000000" w:themeColor="text1"/>
          <w:sz w:val="18"/>
          <w:szCs w:val="18"/>
          <w:lang w:eastAsia="it-IT"/>
        </w:rPr>
        <w:t xml:space="preserve"> – Richiesta chiarimenti”. Il mancato rispetto dei termini e/o il mancato utilizzo dell’indirizzo PEC indicato comporteranno la mancata risposta ai quesiti inviati.</w:t>
      </w:r>
    </w:p>
    <w:p w14:paraId="427F1A6B" w14:textId="77777777" w:rsidR="00515878" w:rsidRPr="0001056B" w:rsidRDefault="00515878" w:rsidP="00515878">
      <w:pPr>
        <w:spacing w:after="0" w:line="240" w:lineRule="auto"/>
        <w:ind w:right="1"/>
        <w:jc w:val="center"/>
        <w:rPr>
          <w:rFonts w:eastAsia="Arial" w:cstheme="minorHAnsi"/>
          <w:highlight w:val="yellow"/>
          <w:lang w:eastAsia="it-IT"/>
        </w:rPr>
      </w:pPr>
    </w:p>
    <w:p w14:paraId="212565F2" w14:textId="77777777" w:rsidR="00515878" w:rsidRPr="00E71E0A" w:rsidRDefault="00515878" w:rsidP="00515878">
      <w:pPr>
        <w:spacing w:after="0" w:line="240" w:lineRule="auto"/>
        <w:ind w:right="1"/>
        <w:jc w:val="center"/>
        <w:rPr>
          <w:rFonts w:eastAsia="Arial" w:cstheme="minorHAnsi"/>
          <w:lang w:eastAsia="it-IT"/>
        </w:rPr>
      </w:pPr>
    </w:p>
    <w:p w14:paraId="32C4BE0C" w14:textId="77777777" w:rsidR="00515878" w:rsidRPr="00E71E0A" w:rsidRDefault="00515878" w:rsidP="00515878">
      <w:pPr>
        <w:spacing w:after="0" w:line="240" w:lineRule="auto"/>
        <w:ind w:right="1"/>
        <w:jc w:val="right"/>
        <w:rPr>
          <w:rFonts w:ascii="Titillium Web" w:eastAsia="Times New Roman" w:hAnsi="Titillium Web" w:cstheme="minorHAnsi"/>
          <w:b/>
          <w:color w:val="000000"/>
          <w:sz w:val="24"/>
          <w:szCs w:val="24"/>
          <w:lang w:eastAsia="it-IT"/>
        </w:rPr>
      </w:pPr>
      <w:r w:rsidRPr="00E71E0A">
        <w:rPr>
          <w:rFonts w:ascii="Titillium Web" w:eastAsia="Times New Roman" w:hAnsi="Titillium Web" w:cstheme="minorHAnsi"/>
          <w:b/>
          <w:color w:val="000000"/>
          <w:sz w:val="24"/>
          <w:szCs w:val="24"/>
          <w:lang w:eastAsia="it-IT"/>
        </w:rPr>
        <w:t>Il Direttore</w:t>
      </w:r>
      <w:r w:rsidRPr="00E71E0A">
        <w:rPr>
          <w:rFonts w:ascii="Titillium Web" w:eastAsia="Times New Roman" w:hAnsi="Titillium Web" w:cstheme="minorHAnsi"/>
          <w:b/>
          <w:color w:val="000000"/>
          <w:sz w:val="24"/>
          <w:szCs w:val="24"/>
          <w:lang w:eastAsia="it-IT"/>
        </w:rPr>
        <w:tab/>
      </w:r>
    </w:p>
    <w:p w14:paraId="40BB90A0" w14:textId="77777777" w:rsidR="00515878" w:rsidRPr="00E71E0A" w:rsidRDefault="00515878" w:rsidP="00515878">
      <w:pPr>
        <w:spacing w:after="0" w:line="240" w:lineRule="auto"/>
        <w:ind w:right="1"/>
        <w:jc w:val="right"/>
        <w:rPr>
          <w:rFonts w:ascii="Titillium Web" w:eastAsia="Times New Roman" w:hAnsi="Titillium Web" w:cstheme="minorHAnsi"/>
          <w:b/>
          <w:color w:val="000000"/>
          <w:sz w:val="24"/>
          <w:szCs w:val="24"/>
          <w:lang w:eastAsia="it-IT"/>
        </w:rPr>
      </w:pPr>
      <w:r w:rsidRPr="00E71E0A">
        <w:rPr>
          <w:rFonts w:ascii="Titillium Web" w:eastAsia="Times New Roman" w:hAnsi="Titillium Web" w:cstheme="minorHAnsi"/>
          <w:b/>
          <w:color w:val="000000"/>
          <w:sz w:val="24"/>
          <w:szCs w:val="24"/>
          <w:lang w:eastAsia="it-IT"/>
        </w:rPr>
        <w:t>Prof. Luigi Paduano</w:t>
      </w:r>
    </w:p>
    <w:p w14:paraId="76A821CA" w14:textId="77777777" w:rsidR="00515878" w:rsidRPr="004437D8" w:rsidRDefault="00515878" w:rsidP="00515878">
      <w:pPr>
        <w:spacing w:after="0" w:line="240" w:lineRule="auto"/>
        <w:ind w:right="1"/>
        <w:jc w:val="right"/>
        <w:rPr>
          <w:rFonts w:ascii="Titillium Web" w:eastAsia="Times New Roman" w:hAnsi="Titillium Web" w:cstheme="minorHAnsi"/>
          <w:b/>
          <w:color w:val="000000"/>
          <w:sz w:val="18"/>
          <w:szCs w:val="18"/>
          <w:lang w:eastAsia="it-IT"/>
        </w:rPr>
      </w:pPr>
      <w:r w:rsidRPr="004437D8">
        <w:rPr>
          <w:rFonts w:ascii="Titillium Web" w:eastAsia="Times New Roman" w:hAnsi="Titillium Web" w:cstheme="minorHAnsi"/>
          <w:b/>
          <w:color w:val="000000"/>
          <w:sz w:val="18"/>
          <w:szCs w:val="18"/>
          <w:lang w:eastAsia="it-IT"/>
        </w:rPr>
        <w:t>(firmato digitalmente)</w:t>
      </w:r>
    </w:p>
    <w:p w14:paraId="2B253028" w14:textId="77777777" w:rsidR="00515878" w:rsidRPr="00E71E0A" w:rsidRDefault="00515878" w:rsidP="00515878">
      <w:pPr>
        <w:spacing w:after="0" w:line="240" w:lineRule="auto"/>
        <w:ind w:right="1"/>
        <w:jc w:val="right"/>
        <w:rPr>
          <w:rFonts w:ascii="Titillium Web" w:eastAsia="Times New Roman" w:hAnsi="Titillium Web" w:cstheme="minorHAnsi"/>
          <w:b/>
          <w:color w:val="000000"/>
          <w:sz w:val="24"/>
          <w:szCs w:val="24"/>
          <w:lang w:eastAsia="it-IT"/>
        </w:rPr>
      </w:pPr>
      <w:r w:rsidRPr="00E71E0A">
        <w:rPr>
          <w:rFonts w:ascii="Titillium Web" w:eastAsia="Times New Roman" w:hAnsi="Titillium Web" w:cstheme="minorHAnsi"/>
          <w:b/>
          <w:color w:val="000000"/>
          <w:sz w:val="24"/>
          <w:szCs w:val="24"/>
          <w:lang w:eastAsia="it-IT"/>
        </w:rPr>
        <w:tab/>
      </w:r>
    </w:p>
    <w:p w14:paraId="4CB5260D" w14:textId="77777777" w:rsidR="00515878" w:rsidRPr="0001056B" w:rsidRDefault="00515878" w:rsidP="00515878">
      <w:pPr>
        <w:tabs>
          <w:tab w:val="left" w:pos="3600"/>
        </w:tabs>
        <w:spacing w:after="0" w:line="240" w:lineRule="auto"/>
        <w:rPr>
          <w:rFonts w:cstheme="minorHAnsi"/>
          <w:highlight w:val="yellow"/>
        </w:rPr>
      </w:pPr>
    </w:p>
    <w:p w14:paraId="5C81B16A" w14:textId="77777777" w:rsidR="00515878" w:rsidRPr="0001056B" w:rsidRDefault="00515878" w:rsidP="00515878">
      <w:pPr>
        <w:spacing w:after="160" w:line="259" w:lineRule="auto"/>
        <w:rPr>
          <w:rFonts w:cstheme="minorHAnsi"/>
          <w:highlight w:val="yellow"/>
        </w:rPr>
      </w:pPr>
      <w:r w:rsidRPr="0001056B">
        <w:rPr>
          <w:rFonts w:cstheme="minorHAnsi"/>
          <w:highlight w:val="yellow"/>
        </w:rPr>
        <w:br w:type="page"/>
      </w:r>
    </w:p>
    <w:p w14:paraId="76801089" w14:textId="77777777" w:rsidR="00515878" w:rsidRPr="00E71E0A" w:rsidRDefault="00515878" w:rsidP="00515878">
      <w:pPr>
        <w:tabs>
          <w:tab w:val="left" w:pos="3600"/>
        </w:tabs>
        <w:spacing w:after="0" w:line="240" w:lineRule="auto"/>
        <w:rPr>
          <w:rFonts w:cstheme="minorHAnsi"/>
        </w:rPr>
      </w:pPr>
    </w:p>
    <w:p w14:paraId="2A076097" w14:textId="77777777" w:rsidR="00515878" w:rsidRPr="00E71E0A" w:rsidRDefault="00515878" w:rsidP="00515878">
      <w:pPr>
        <w:tabs>
          <w:tab w:val="left" w:pos="426"/>
        </w:tabs>
        <w:spacing w:after="0" w:line="240" w:lineRule="auto"/>
        <w:ind w:right="1"/>
        <w:rPr>
          <w:rFonts w:ascii="Titillium Web" w:eastAsia="Arial" w:hAnsi="Titillium Web" w:cstheme="minorHAnsi"/>
          <w:b/>
          <w:color w:val="000000" w:themeColor="text1"/>
          <w:sz w:val="18"/>
          <w:szCs w:val="18"/>
          <w:lang w:eastAsia="it-IT"/>
        </w:rPr>
      </w:pPr>
      <w:r w:rsidRPr="00E71E0A">
        <w:rPr>
          <w:rFonts w:ascii="Titillium Web" w:eastAsia="Arial" w:hAnsi="Titillium Web" w:cstheme="minorHAnsi"/>
          <w:b/>
          <w:color w:val="000000" w:themeColor="text1"/>
          <w:sz w:val="18"/>
          <w:szCs w:val="18"/>
          <w:lang w:eastAsia="it-IT"/>
        </w:rPr>
        <w:t>TRATTAMENTO DEI DATI PERSONALI</w:t>
      </w:r>
    </w:p>
    <w:p w14:paraId="78114E67" w14:textId="77777777" w:rsidR="00515878" w:rsidRPr="00E71E0A" w:rsidRDefault="00515878" w:rsidP="00515878">
      <w:pPr>
        <w:pStyle w:val="Default"/>
        <w:tabs>
          <w:tab w:val="left" w:pos="426"/>
        </w:tabs>
        <w:jc w:val="both"/>
        <w:rPr>
          <w:rFonts w:ascii="Titillium Web" w:hAnsi="Titillium Web" w:cs="Calibri"/>
          <w:color w:val="000000" w:themeColor="text1"/>
          <w:sz w:val="20"/>
          <w:szCs w:val="20"/>
        </w:rPr>
      </w:pPr>
      <w:r w:rsidRPr="00E71E0A">
        <w:rPr>
          <w:rFonts w:ascii="Titillium Web" w:hAnsi="Titillium Web" w:cs="Calibri"/>
          <w:b/>
          <w:bCs/>
          <w:i/>
          <w:iCs/>
          <w:color w:val="000000" w:themeColor="text1"/>
          <w:sz w:val="20"/>
          <w:szCs w:val="20"/>
        </w:rPr>
        <w:t xml:space="preserve">Informativa ai sensi dell’art. 13 del Regolamento (UE) 679/2016 recante norme sul trattamento dei dati personali. </w:t>
      </w:r>
    </w:p>
    <w:p w14:paraId="4AF9C58C" w14:textId="77777777" w:rsidR="00515878" w:rsidRPr="00E71E0A" w:rsidRDefault="00515878" w:rsidP="00515878">
      <w:pPr>
        <w:tabs>
          <w:tab w:val="left" w:pos="426"/>
        </w:tabs>
        <w:spacing w:after="0" w:line="240" w:lineRule="auto"/>
        <w:jc w:val="both"/>
        <w:rPr>
          <w:rFonts w:ascii="Titillium Web" w:eastAsia="Arial" w:hAnsi="Titillium Web" w:cstheme="minorHAnsi"/>
          <w:color w:val="000000" w:themeColor="text1"/>
          <w:sz w:val="18"/>
          <w:szCs w:val="18"/>
          <w:lang w:eastAsia="it-IT"/>
        </w:rPr>
      </w:pPr>
      <w:r w:rsidRPr="00E71E0A">
        <w:rPr>
          <w:rFonts w:ascii="Titillium Web" w:eastAsia="Arial" w:hAnsi="Titillium Web" w:cstheme="minorHAnsi"/>
          <w:color w:val="000000" w:themeColor="text1"/>
          <w:sz w:val="18"/>
          <w:szCs w:val="18"/>
          <w:lang w:eastAsia="it-IT"/>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w:t>
      </w:r>
      <w:hyperlink r:id="rId13" w:history="1">
        <w:r w:rsidRPr="00E71E0A">
          <w:rPr>
            <w:rStyle w:val="Hyperlink"/>
            <w:rFonts w:ascii="Titillium Web" w:eastAsia="Arial" w:hAnsi="Titillium Web" w:cstheme="minorHAnsi"/>
            <w:sz w:val="18"/>
            <w:szCs w:val="18"/>
            <w:lang w:eastAsia="it-IT"/>
          </w:rPr>
          <w:t>ateneo</w:t>
        </w:r>
        <w:bookmarkStart w:id="9" w:name="_Hlk63232739"/>
        <w:r w:rsidRPr="00E71E0A">
          <w:rPr>
            <w:rStyle w:val="Hyperlink"/>
            <w:rFonts w:ascii="Titillium Web" w:eastAsia="Arial" w:hAnsi="Titillium Web" w:cstheme="minorHAnsi"/>
            <w:sz w:val="18"/>
            <w:szCs w:val="18"/>
            <w:lang w:eastAsia="it-IT"/>
          </w:rPr>
          <w:t>@pec.unina.i</w:t>
        </w:r>
        <w:bookmarkEnd w:id="9"/>
        <w:r w:rsidRPr="00E71E0A">
          <w:rPr>
            <w:rStyle w:val="Hyperlink"/>
            <w:rFonts w:ascii="Titillium Web" w:eastAsia="Arial" w:hAnsi="Titillium Web" w:cstheme="minorHAnsi"/>
            <w:sz w:val="18"/>
            <w:szCs w:val="18"/>
            <w:lang w:eastAsia="it-IT"/>
          </w:rPr>
          <w:t>t</w:t>
        </w:r>
      </w:hyperlink>
      <w:r w:rsidRPr="00E71E0A">
        <w:rPr>
          <w:rFonts w:ascii="Titillium Web" w:eastAsia="Arial" w:hAnsi="Titillium Web" w:cstheme="minorHAnsi"/>
          <w:color w:val="000000" w:themeColor="text1"/>
          <w:sz w:val="18"/>
          <w:szCs w:val="18"/>
          <w:lang w:eastAsia="it-IT"/>
        </w:rPr>
        <w:t xml:space="preserve">;  oppure al Responsabile della Protezione dei Dati: </w:t>
      </w:r>
      <w:hyperlink r:id="rId14" w:history="1">
        <w:r w:rsidRPr="00E71E0A">
          <w:rPr>
            <w:rStyle w:val="Hyperlink"/>
            <w:rFonts w:ascii="Titillium Web" w:eastAsia="Arial" w:hAnsi="Titillium Web" w:cstheme="minorHAnsi"/>
            <w:sz w:val="18"/>
            <w:szCs w:val="18"/>
            <w:lang w:eastAsia="it-IT"/>
          </w:rPr>
          <w:t>rpd@unina.it</w:t>
        </w:r>
      </w:hyperlink>
      <w:r w:rsidRPr="00E71E0A">
        <w:rPr>
          <w:rFonts w:ascii="Titillium Web" w:eastAsia="Arial" w:hAnsi="Titillium Web" w:cstheme="minorHAnsi"/>
          <w:color w:val="000000" w:themeColor="text1"/>
          <w:sz w:val="18"/>
          <w:szCs w:val="18"/>
          <w:lang w:eastAsia="it-IT"/>
        </w:rPr>
        <w:t xml:space="preserve">; PEC: </w:t>
      </w:r>
      <w:hyperlink r:id="rId15" w:history="1">
        <w:r w:rsidRPr="00E71E0A">
          <w:rPr>
            <w:rStyle w:val="Hyperlink"/>
            <w:rFonts w:ascii="Titillium Web" w:eastAsia="Arial" w:hAnsi="Titillium Web" w:cstheme="minorHAnsi"/>
            <w:sz w:val="18"/>
            <w:szCs w:val="18"/>
            <w:lang w:eastAsia="it-IT"/>
          </w:rPr>
          <w:t>rpd@pec.unina.it</w:t>
        </w:r>
      </w:hyperlink>
      <w:r w:rsidRPr="00E71E0A">
        <w:rPr>
          <w:rFonts w:ascii="Titillium Web" w:eastAsia="Arial" w:hAnsi="Titillium Web" w:cstheme="minorHAnsi"/>
          <w:color w:val="000000" w:themeColor="text1"/>
          <w:sz w:val="18"/>
          <w:szCs w:val="18"/>
          <w:lang w:eastAsia="it-IT"/>
        </w:rPr>
        <w:t xml:space="preserve">. Per qualsiasi altra istanza relativa al procedimento in questione deve essere contattato invece  </w:t>
      </w:r>
      <w:hyperlink r:id="rId16" w:history="1">
        <w:r w:rsidRPr="00E71E0A">
          <w:rPr>
            <w:rStyle w:val="Hyperlink"/>
            <w:rFonts w:ascii="Titillium Web" w:eastAsia="Arial" w:hAnsi="Titillium Web" w:cstheme="minorHAnsi"/>
            <w:sz w:val="18"/>
            <w:szCs w:val="18"/>
            <w:lang w:eastAsia="it-IT"/>
          </w:rPr>
          <w:t>dip.scienze-chimiche@pec.unina.it</w:t>
        </w:r>
      </w:hyperlink>
      <w:r w:rsidRPr="00E71E0A">
        <w:rPr>
          <w:rFonts w:ascii="Titillium Web" w:eastAsia="Arial" w:hAnsi="Titillium Web" w:cstheme="minorHAnsi"/>
          <w:color w:val="000000" w:themeColor="text1"/>
          <w:sz w:val="18"/>
          <w:szCs w:val="18"/>
          <w:lang w:eastAsia="it-IT"/>
        </w:rPr>
        <w:t>. Agli interessati competono i diritti di cui agli artt. 15-22 del Regolamento UE. Le informazioni complete, relative al trattamento dei dati personali raccolti, sono riportate sul sito dell’Ateneo: http://www.unina.it/ateneo/statuto-e-normativa/privacy.</w:t>
      </w:r>
    </w:p>
    <w:p w14:paraId="6B1C56B6" w14:textId="77777777" w:rsidR="00515878" w:rsidRPr="0001056B" w:rsidRDefault="00515878" w:rsidP="00515878">
      <w:pPr>
        <w:rPr>
          <w:highlight w:val="yellow"/>
        </w:rPr>
      </w:pPr>
    </w:p>
    <w:p w14:paraId="39376F91" w14:textId="77777777" w:rsidR="00515878" w:rsidRPr="0001056B" w:rsidRDefault="00515878" w:rsidP="00515878">
      <w:pPr>
        <w:rPr>
          <w:highlight w:val="yellow"/>
        </w:rPr>
      </w:pPr>
    </w:p>
    <w:p w14:paraId="1EBFD370" w14:textId="77777777" w:rsidR="00515878" w:rsidRPr="0001056B" w:rsidRDefault="00515878" w:rsidP="00515878">
      <w:pPr>
        <w:rPr>
          <w:highlight w:val="yellow"/>
        </w:rPr>
      </w:pPr>
    </w:p>
    <w:p w14:paraId="401F2749" w14:textId="77777777" w:rsidR="00515878" w:rsidRPr="0001056B" w:rsidRDefault="00515878" w:rsidP="00515878">
      <w:pPr>
        <w:spacing w:after="160" w:line="259" w:lineRule="auto"/>
        <w:rPr>
          <w:highlight w:val="yellow"/>
        </w:rPr>
      </w:pPr>
      <w:r w:rsidRPr="0001056B">
        <w:rPr>
          <w:highlight w:val="yellow"/>
        </w:rPr>
        <w:br w:type="page"/>
      </w:r>
    </w:p>
    <w:p w14:paraId="0632ECD2" w14:textId="77777777" w:rsidR="00515878" w:rsidRPr="00E5327B" w:rsidRDefault="00515878" w:rsidP="00515878">
      <w:pPr>
        <w:tabs>
          <w:tab w:val="left" w:pos="1172"/>
        </w:tabs>
        <w:spacing w:after="0" w:line="240" w:lineRule="auto"/>
        <w:rPr>
          <w:rFonts w:ascii="Titillium Web" w:hAnsi="Titillium Web"/>
          <w:b/>
          <w:bCs/>
        </w:rPr>
      </w:pPr>
      <w:r w:rsidRPr="00E5327B">
        <w:rPr>
          <w:rFonts w:ascii="Titillium Web" w:hAnsi="Titillium Web"/>
          <w:b/>
          <w:bCs/>
        </w:rPr>
        <w:lastRenderedPageBreak/>
        <w:t>Allegato A – SCHEDA TECNICA</w:t>
      </w:r>
    </w:p>
    <w:p w14:paraId="6AB3EAD6" w14:textId="77777777" w:rsidR="00515878" w:rsidRPr="0001056B" w:rsidRDefault="00515878" w:rsidP="00515878">
      <w:pPr>
        <w:tabs>
          <w:tab w:val="left" w:pos="1172"/>
        </w:tabs>
        <w:spacing w:after="0" w:line="240" w:lineRule="auto"/>
        <w:rPr>
          <w:rFonts w:ascii="Titillium Web" w:hAnsi="Titillium Web"/>
          <w:highlight w:val="yellow"/>
        </w:rPr>
      </w:pPr>
    </w:p>
    <w:p w14:paraId="325B3722" w14:textId="77777777" w:rsidR="00C041A6" w:rsidRDefault="00C041A6" w:rsidP="00C041A6">
      <w:pPr>
        <w:tabs>
          <w:tab w:val="left" w:pos="1172"/>
        </w:tabs>
        <w:spacing w:after="0" w:line="240" w:lineRule="auto"/>
        <w:rPr>
          <w:rFonts w:ascii="Titillium Web" w:hAnsi="Titillium Web"/>
          <w:b/>
          <w:bCs/>
          <w:u w:val="single"/>
        </w:rPr>
      </w:pPr>
      <w:r w:rsidRPr="000978B0">
        <w:rPr>
          <w:rFonts w:ascii="Titillium Web" w:hAnsi="Titillium Web"/>
          <w:b/>
          <w:bCs/>
          <w:u w:val="single"/>
        </w:rPr>
        <w:t>Oggetto della fornitura e relative caratteristiche tecniche</w:t>
      </w:r>
    </w:p>
    <w:p w14:paraId="705EDCA1" w14:textId="77777777" w:rsidR="00C041A6" w:rsidRDefault="00C041A6" w:rsidP="00C041A6">
      <w:pPr>
        <w:tabs>
          <w:tab w:val="left" w:pos="1172"/>
        </w:tabs>
        <w:spacing w:after="0" w:line="240" w:lineRule="auto"/>
        <w:rPr>
          <w:rFonts w:ascii="Titillium Web" w:hAnsi="Titillium Web"/>
          <w:b/>
          <w:bCs/>
          <w:u w:val="single"/>
        </w:rPr>
      </w:pPr>
    </w:p>
    <w:p w14:paraId="0242FF0F" w14:textId="77777777" w:rsidR="00C041A6" w:rsidRPr="007E6871" w:rsidRDefault="00C041A6" w:rsidP="00C041A6">
      <w:pPr>
        <w:tabs>
          <w:tab w:val="left" w:pos="1172"/>
        </w:tabs>
        <w:spacing w:after="0" w:line="240" w:lineRule="auto"/>
        <w:rPr>
          <w:rFonts w:ascii="Titillium Web" w:hAnsi="Titillium Web"/>
          <w:b/>
          <w:bCs/>
          <w:u w:val="single"/>
        </w:rPr>
      </w:pPr>
      <w:r w:rsidRPr="007E6871">
        <w:rPr>
          <w:rFonts w:ascii="Titillium Web" w:hAnsi="Titillium Web"/>
          <w:b/>
          <w:bCs/>
          <w:u w:val="single"/>
        </w:rPr>
        <w:t>Caratteristiche tecniche minime della Piattaforma GPC/SEC:</w:t>
      </w:r>
    </w:p>
    <w:p w14:paraId="5F3F8B95" w14:textId="77777777" w:rsidR="00C041A6" w:rsidRPr="007E6871" w:rsidRDefault="00C041A6" w:rsidP="00C041A6">
      <w:pPr>
        <w:tabs>
          <w:tab w:val="left" w:pos="1172"/>
        </w:tabs>
        <w:spacing w:after="0" w:line="240" w:lineRule="auto"/>
        <w:rPr>
          <w:rFonts w:ascii="Titillium Web" w:hAnsi="Titillium Web"/>
          <w:b/>
          <w:bCs/>
          <w:i/>
          <w:u w:val="single"/>
        </w:rPr>
      </w:pPr>
    </w:p>
    <w:p w14:paraId="23DAC89F" w14:textId="77777777" w:rsidR="00C041A6" w:rsidRPr="00F5131E" w:rsidRDefault="00C041A6" w:rsidP="00C041A6">
      <w:pPr>
        <w:numPr>
          <w:ilvl w:val="0"/>
          <w:numId w:val="45"/>
        </w:num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La piattaforma  GPC/SEC deve essere equipaggiata con un detector Light Scattering di tipo LALS/RALS che non esegue l’interpolazione di intensità dei due segnali per estrapolare l’intensità scatterata a zero gradi. Detector di rilevazione con angolo inferiore agli 8°, detector di rilevazione delle molecole piccole posizionato a 90°.</w:t>
      </w:r>
    </w:p>
    <w:p w14:paraId="1B4F3F0D" w14:textId="77777777" w:rsidR="00C041A6" w:rsidRPr="00F5131E" w:rsidRDefault="00C041A6" w:rsidP="00C041A6">
      <w:pPr>
        <w:numPr>
          <w:ilvl w:val="0"/>
          <w:numId w:val="45"/>
        </w:num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Deve essere completa e integrata, equipaggiata con autocampionatore termostatato (sia raffreddamento che riscaldamento), forno colonne, pompa isocratica a basse pulsazioni, degassatore con un volume morto inferiore ai 3mL, detector refrattometrico, detector Light scattering statico LALS/RALS e detector viscosimetrico tutti controllati da un unico software capace di elaborare tutti i segnali.</w:t>
      </w:r>
    </w:p>
    <w:p w14:paraId="4A328D8B" w14:textId="77777777" w:rsidR="00C041A6" w:rsidRPr="00F5131E" w:rsidRDefault="00C041A6" w:rsidP="00C041A6">
      <w:pPr>
        <w:numPr>
          <w:ilvl w:val="0"/>
          <w:numId w:val="45"/>
        </w:num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La piattaforma GPC/SEC deve essere equipaggiata con un Viscosimetro con autobilanciamento meccanico, automatico, del segnale in mV, inoltre i capillari e la colonna di delay devono essere facilmente accessibili e sostituibile dall’operatore senza un intervento tecnico. I trasduttori di pressione devono essere in acciaio inossidabile 316 piezo resistivi.</w:t>
      </w:r>
    </w:p>
    <w:p w14:paraId="106CF3B4" w14:textId="77777777" w:rsidR="00C041A6" w:rsidRPr="00F5131E" w:rsidRDefault="00C041A6" w:rsidP="00C041A6">
      <w:pPr>
        <w:numPr>
          <w:ilvl w:val="0"/>
          <w:numId w:val="45"/>
        </w:num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La piattaforma GPC/SEC deve montare  tutti i detector (RI, Light Scattering e Viscosimetro)  in un unico comparto che garantisca una termostatazione omogenea e costante di tutte le celle e di tutti i tubi di trasferimento. Operando sia in riscaldamento che in raffreddamento.</w:t>
      </w:r>
    </w:p>
    <w:p w14:paraId="3ECDEA93" w14:textId="77777777" w:rsidR="00C041A6" w:rsidRPr="00F5131E" w:rsidRDefault="00C041A6" w:rsidP="00C041A6">
      <w:pPr>
        <w:numPr>
          <w:ilvl w:val="0"/>
          <w:numId w:val="45"/>
        </w:num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Lo strumento può essere nuovo o un ex-demo.</w:t>
      </w:r>
    </w:p>
    <w:p w14:paraId="7CACED5A"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p>
    <w:p w14:paraId="111AA1BD"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Caratteristiche tecniche aggiuntive della piattaforma GPC/SEC</w:t>
      </w:r>
    </w:p>
    <w:p w14:paraId="45BB95DE"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p>
    <w:p w14:paraId="4871470E"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Sistema cromatografico</w:t>
      </w:r>
    </w:p>
    <w:p w14:paraId="3CBFC305"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Pump flow rate:0.005 - 10 mL/min</w:t>
      </w:r>
    </w:p>
    <w:p w14:paraId="23A975FA"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Flow rate accuracy:±1%</w:t>
      </w:r>
    </w:p>
    <w:p w14:paraId="371FC586"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Pressure range:0 - 5000 PSI (34.5 MPa)</w:t>
      </w:r>
    </w:p>
    <w:p w14:paraId="58E96704"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Pulsation:0.15% @ 1 mL/min in water</w:t>
      </w:r>
    </w:p>
    <w:p w14:paraId="0D21ED48"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Dimensions (W, D, H):420, 640, 890 mm</w:t>
      </w:r>
    </w:p>
    <w:p w14:paraId="69989B0D"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Weight:62 kg</w:t>
      </w:r>
    </w:p>
    <w:p w14:paraId="1E812EE5"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Data acquisition rate:100 Hz</w:t>
      </w:r>
    </w:p>
    <w:p w14:paraId="5CF0D39E"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PC: almeno I7 con 16 gigabyte di RAM e monitor da 22”, WIN 10 o superiore, mouse e tastiera.</w:t>
      </w:r>
    </w:p>
    <w:p w14:paraId="1DF338BB"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p>
    <w:p w14:paraId="16D419BB"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Autocampionatore</w:t>
      </w:r>
    </w:p>
    <w:p w14:paraId="61EBCC76"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 xml:space="preserve"> </w:t>
      </w:r>
    </w:p>
    <w:p w14:paraId="2E0FA72E"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Tipi di vials supportati:HPLC vials o 96-well microtiter plates</w:t>
      </w:r>
    </w:p>
    <w:p w14:paraId="298D6129"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Volume di iniezione:1 - 300 µL</w:t>
      </w:r>
    </w:p>
    <w:p w14:paraId="2FD52661"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Accuratezza di iniezione:&gt;99.5%</w:t>
      </w:r>
    </w:p>
    <w:p w14:paraId="1F2E31D4"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Precisione di iniezione:</w:t>
      </w:r>
    </w:p>
    <w:p w14:paraId="4A3A5CA5"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&lt;0.5% RSD in partial loop mode</w:t>
      </w:r>
    </w:p>
    <w:p w14:paraId="3C00FC7C"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Range di controllo della temperature almeno :4 - 60 °C</w:t>
      </w:r>
    </w:p>
    <w:p w14:paraId="0CE2F306"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p>
    <w:p w14:paraId="7991D5B6"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Forno Colonne</w:t>
      </w:r>
    </w:p>
    <w:p w14:paraId="6AC0B195"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Capacità: almeno 6 colonne da 30cm</w:t>
      </w:r>
    </w:p>
    <w:p w14:paraId="7D6994BD"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lastRenderedPageBreak/>
        <w:t>Controllo della temperatura almeno tra 20 - 65 °C</w:t>
      </w:r>
    </w:p>
    <w:p w14:paraId="567C2147"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p>
    <w:p w14:paraId="73157C21"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Scomparto Detector</w:t>
      </w:r>
    </w:p>
    <w:p w14:paraId="1A47E7F1"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Range di temperature almeno tra 20 - 65 °C</w:t>
      </w:r>
    </w:p>
    <w:p w14:paraId="5399B608"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Data acquisition rate almeno100 Hz</w:t>
      </w:r>
    </w:p>
    <w:p w14:paraId="4AE9348F"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Detector 1</w:t>
      </w:r>
    </w:p>
    <w:p w14:paraId="6F92421D"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Detector: Light scattering</w:t>
      </w:r>
    </w:p>
    <w:p w14:paraId="58FF4F84"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Principio di misura: RALS 90° angle, LALS &lt;8° angle</w:t>
      </w:r>
    </w:p>
    <w:p w14:paraId="559A53E4"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Light source:640 nm laser</w:t>
      </w:r>
    </w:p>
    <w:p w14:paraId="1C9142F9"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Volume della cella &lt;20 µL</w:t>
      </w:r>
    </w:p>
    <w:p w14:paraId="0BC30893"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Baseline noise:&lt;0.1 mV</w:t>
      </w:r>
    </w:p>
    <w:p w14:paraId="542CB922"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Baseline drift:&lt;0.2 mV/hr</w:t>
      </w:r>
    </w:p>
    <w:p w14:paraId="52C71D00"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Detector 2</w:t>
      </w:r>
    </w:p>
    <w:p w14:paraId="3BB06610"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Detector: Differential refractive index</w:t>
      </w:r>
    </w:p>
    <w:p w14:paraId="79483E37"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Volume della cella &lt;12 µL</w:t>
      </w:r>
    </w:p>
    <w:p w14:paraId="6387ABFB"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Baseline noise:&lt;10-7 RIU</w:t>
      </w:r>
    </w:p>
    <w:p w14:paraId="66DD9A84"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Baseline drift:&lt;3 x 10-7 RIU/hr</w:t>
      </w:r>
    </w:p>
    <w:p w14:paraId="5E7DAE17" w14:textId="77777777" w:rsidR="00C041A6" w:rsidRPr="00480EB6" w:rsidRDefault="00C041A6" w:rsidP="00C041A6">
      <w:pPr>
        <w:tabs>
          <w:tab w:val="left" w:pos="1172"/>
        </w:tabs>
        <w:spacing w:after="0" w:line="240" w:lineRule="auto"/>
        <w:rPr>
          <w:rFonts w:ascii="Titillium Web" w:eastAsia="Arial" w:hAnsi="Titillium Web" w:cstheme="minorHAnsi"/>
          <w:color w:val="000000" w:themeColor="text1"/>
          <w:sz w:val="18"/>
          <w:szCs w:val="18"/>
          <w:lang w:val="en-US" w:eastAsia="it-IT"/>
        </w:rPr>
      </w:pPr>
      <w:r w:rsidRPr="00480EB6">
        <w:rPr>
          <w:rFonts w:ascii="Titillium Web" w:eastAsia="Arial" w:hAnsi="Titillium Web" w:cstheme="minorHAnsi"/>
          <w:color w:val="000000" w:themeColor="text1"/>
          <w:sz w:val="18"/>
          <w:szCs w:val="18"/>
          <w:lang w:val="en-US" w:eastAsia="it-IT"/>
        </w:rPr>
        <w:t>Detector 3</w:t>
      </w:r>
    </w:p>
    <w:p w14:paraId="168C9707"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Detector: Viscometrico</w:t>
      </w:r>
    </w:p>
    <w:p w14:paraId="2A8AA5E3"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Principio di misura :4-capillary Wheatstone bridge con meccanismo di autobilanciamento meccanico.</w:t>
      </w:r>
    </w:p>
    <w:p w14:paraId="240AADBD"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Capillari sostituibili dall’operatore senza intervento di un tecnico.</w:t>
      </w:r>
    </w:p>
    <w:p w14:paraId="48B7EEF2"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Volume dei detector:17 µL/capillare</w:t>
      </w:r>
    </w:p>
    <w:p w14:paraId="53569819"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Rumore delle linea di base al “Differential pressure” :0.3 Pa</w:t>
      </w:r>
    </w:p>
    <w:p w14:paraId="3C15DD49"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Range dinamico inlet pressure:100 kPa</w:t>
      </w:r>
    </w:p>
    <w:p w14:paraId="2DD70A12"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Rumore delle linea di base Inlet Pressure :0.01 kPa</w:t>
      </w:r>
    </w:p>
    <w:p w14:paraId="2DAA1222"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r w:rsidRPr="00F5131E">
        <w:rPr>
          <w:rFonts w:ascii="Titillium Web" w:eastAsia="Arial" w:hAnsi="Titillium Web" w:cstheme="minorHAnsi"/>
          <w:color w:val="000000" w:themeColor="text1"/>
          <w:sz w:val="18"/>
          <w:szCs w:val="18"/>
          <w:lang w:eastAsia="it-IT"/>
        </w:rPr>
        <w:t>Drift della linea di base:&lt;0.2 kPa/hr</w:t>
      </w:r>
    </w:p>
    <w:p w14:paraId="708661AA"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p>
    <w:p w14:paraId="6E5DA340"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p>
    <w:p w14:paraId="194CCF0E"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p>
    <w:p w14:paraId="32B008DB" w14:textId="77777777" w:rsidR="00C041A6" w:rsidRPr="00F5131E" w:rsidRDefault="00C041A6" w:rsidP="00C041A6">
      <w:pPr>
        <w:tabs>
          <w:tab w:val="left" w:pos="1172"/>
        </w:tabs>
        <w:spacing w:after="0" w:line="240" w:lineRule="auto"/>
        <w:rPr>
          <w:rFonts w:ascii="Titillium Web" w:eastAsia="Arial" w:hAnsi="Titillium Web" w:cstheme="minorHAnsi"/>
          <w:color w:val="000000" w:themeColor="text1"/>
          <w:sz w:val="18"/>
          <w:szCs w:val="18"/>
          <w:lang w:eastAsia="it-IT"/>
        </w:rPr>
      </w:pPr>
    </w:p>
    <w:p w14:paraId="457486D6" w14:textId="77777777" w:rsidR="002D57A3" w:rsidRPr="00F5131E" w:rsidRDefault="002D57A3" w:rsidP="002D57A3">
      <w:pPr>
        <w:rPr>
          <w:rFonts w:ascii="Titillium Web" w:eastAsia="Arial" w:hAnsi="Titillium Web" w:cstheme="minorHAnsi"/>
          <w:color w:val="000000" w:themeColor="text1"/>
          <w:sz w:val="18"/>
          <w:szCs w:val="18"/>
          <w:lang w:eastAsia="it-IT"/>
        </w:rPr>
      </w:pPr>
    </w:p>
    <w:p w14:paraId="2D438301" w14:textId="77777777" w:rsidR="002D57A3" w:rsidRPr="00F5131E" w:rsidRDefault="002D57A3" w:rsidP="002D57A3">
      <w:pPr>
        <w:rPr>
          <w:rFonts w:ascii="Titillium Web" w:eastAsia="Arial" w:hAnsi="Titillium Web" w:cstheme="minorHAnsi"/>
          <w:color w:val="000000" w:themeColor="text1"/>
          <w:sz w:val="18"/>
          <w:szCs w:val="18"/>
          <w:lang w:eastAsia="it-IT"/>
        </w:rPr>
      </w:pPr>
    </w:p>
    <w:p w14:paraId="7BBFF4F9" w14:textId="77777777" w:rsidR="002D57A3" w:rsidRPr="00F5131E" w:rsidRDefault="002D57A3" w:rsidP="002D57A3">
      <w:pPr>
        <w:rPr>
          <w:rFonts w:ascii="Titillium Web" w:eastAsia="Arial" w:hAnsi="Titillium Web" w:cstheme="minorHAnsi"/>
          <w:color w:val="000000" w:themeColor="text1"/>
          <w:sz w:val="18"/>
          <w:szCs w:val="18"/>
          <w:lang w:eastAsia="it-IT"/>
        </w:rPr>
      </w:pPr>
    </w:p>
    <w:p w14:paraId="603C13BF" w14:textId="77777777" w:rsidR="002D57A3" w:rsidRPr="00F5131E" w:rsidRDefault="002D57A3" w:rsidP="002D57A3">
      <w:pPr>
        <w:rPr>
          <w:rFonts w:ascii="Titillium Web" w:eastAsia="Arial" w:hAnsi="Titillium Web" w:cstheme="minorHAnsi"/>
          <w:color w:val="000000" w:themeColor="text1"/>
          <w:sz w:val="18"/>
          <w:szCs w:val="18"/>
          <w:lang w:eastAsia="it-IT"/>
        </w:rPr>
      </w:pPr>
    </w:p>
    <w:p w14:paraId="372EC42A" w14:textId="77777777" w:rsidR="002D57A3" w:rsidRPr="00F5131E" w:rsidRDefault="002D57A3" w:rsidP="002D57A3">
      <w:pPr>
        <w:rPr>
          <w:rFonts w:ascii="Titillium Web" w:eastAsia="Arial" w:hAnsi="Titillium Web" w:cstheme="minorHAnsi"/>
          <w:color w:val="000000" w:themeColor="text1"/>
          <w:sz w:val="18"/>
          <w:szCs w:val="18"/>
          <w:lang w:eastAsia="it-IT"/>
        </w:rPr>
      </w:pPr>
    </w:p>
    <w:p w14:paraId="5FEBDA5F" w14:textId="77777777" w:rsidR="002D57A3" w:rsidRPr="00F5131E" w:rsidRDefault="002D57A3" w:rsidP="002D57A3">
      <w:pPr>
        <w:rPr>
          <w:rFonts w:ascii="Titillium Web" w:eastAsia="Arial" w:hAnsi="Titillium Web" w:cstheme="minorHAnsi"/>
          <w:color w:val="000000" w:themeColor="text1"/>
          <w:sz w:val="18"/>
          <w:szCs w:val="18"/>
          <w:lang w:eastAsia="it-IT"/>
        </w:rPr>
      </w:pPr>
    </w:p>
    <w:p w14:paraId="126912EF" w14:textId="77777777" w:rsidR="002D57A3" w:rsidRPr="00F5131E" w:rsidRDefault="002D57A3" w:rsidP="002D57A3">
      <w:pPr>
        <w:rPr>
          <w:rFonts w:ascii="Titillium Web" w:eastAsia="Arial" w:hAnsi="Titillium Web" w:cstheme="minorHAnsi"/>
          <w:color w:val="000000" w:themeColor="text1"/>
          <w:sz w:val="18"/>
          <w:szCs w:val="18"/>
          <w:lang w:eastAsia="it-IT"/>
        </w:rPr>
      </w:pPr>
    </w:p>
    <w:p w14:paraId="47CA4B7B" w14:textId="77777777" w:rsidR="002D57A3" w:rsidRPr="00F5131E" w:rsidRDefault="002D57A3" w:rsidP="002D57A3">
      <w:pPr>
        <w:rPr>
          <w:rFonts w:ascii="Titillium Web" w:eastAsia="Arial" w:hAnsi="Titillium Web" w:cstheme="minorHAnsi"/>
          <w:color w:val="000000" w:themeColor="text1"/>
          <w:sz w:val="18"/>
          <w:szCs w:val="18"/>
          <w:lang w:eastAsia="it-IT"/>
        </w:rPr>
      </w:pPr>
    </w:p>
    <w:sectPr w:rsidR="002D57A3" w:rsidRPr="00F5131E" w:rsidSect="007D1F0B">
      <w:headerReference w:type="default" r:id="rId17"/>
      <w:footerReference w:type="default" r:id="rId18"/>
      <w:pgSz w:w="11906" w:h="16838"/>
      <w:pgMar w:top="1134"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0DE9" w14:textId="77777777" w:rsidR="007D1F0B" w:rsidRDefault="007D1F0B" w:rsidP="001E56CC">
      <w:pPr>
        <w:spacing w:after="0" w:line="240" w:lineRule="auto"/>
      </w:pPr>
      <w:r>
        <w:separator/>
      </w:r>
    </w:p>
  </w:endnote>
  <w:endnote w:type="continuationSeparator" w:id="0">
    <w:p w14:paraId="7354502D" w14:textId="77777777" w:rsidR="007D1F0B" w:rsidRDefault="007D1F0B" w:rsidP="001E5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32D6" w14:textId="07643AE7" w:rsidR="001D54AA" w:rsidRPr="001D54AA" w:rsidRDefault="001D54AA" w:rsidP="001D54AA">
    <w:pPr>
      <w:pStyle w:val="Footer"/>
      <w:jc w:val="center"/>
      <w:rPr>
        <w:rFonts w:ascii="Titillium Web" w:hAnsi="Titillium Web"/>
        <w:sz w:val="16"/>
        <w:szCs w:val="16"/>
      </w:rPr>
    </w:pPr>
    <w:r w:rsidRPr="001D54AA">
      <w:rPr>
        <w:rFonts w:ascii="Titillium Web" w:hAnsi="Titillium Web"/>
        <w:sz w:val="16"/>
        <w:szCs w:val="16"/>
      </w:rPr>
      <w:t>Dipartimento di Scienze Chimiche – Complesso Universitario di Monte Sant’Angelo, Via Cintia, 80125 Napoli</w:t>
    </w:r>
  </w:p>
  <w:p w14:paraId="11DC0221" w14:textId="456B03F7" w:rsidR="001D54AA" w:rsidRPr="001D54AA" w:rsidRDefault="001D54AA" w:rsidP="001D54AA">
    <w:pPr>
      <w:pStyle w:val="Footer"/>
      <w:jc w:val="center"/>
      <w:rPr>
        <w:rFonts w:ascii="Titillium Web" w:hAnsi="Titillium Web"/>
        <w:sz w:val="16"/>
        <w:szCs w:val="16"/>
      </w:rPr>
    </w:pPr>
    <w:r w:rsidRPr="001D54AA">
      <w:rPr>
        <w:rFonts w:ascii="Titillium Web" w:hAnsi="Titillium Web"/>
        <w:sz w:val="16"/>
        <w:szCs w:val="16"/>
      </w:rPr>
      <w:t xml:space="preserve">Edificio 5b – </w:t>
    </w:r>
    <w:hyperlink r:id="rId1" w:history="1">
      <w:r w:rsidRPr="001D54AA">
        <w:rPr>
          <w:rStyle w:val="Hyperlink"/>
          <w:rFonts w:ascii="Titillium Web" w:hAnsi="Titillium Web"/>
          <w:sz w:val="16"/>
          <w:szCs w:val="16"/>
        </w:rPr>
        <w:t>dip.scienze-chimiche@unina.it</w:t>
      </w:r>
    </w:hyperlink>
    <w:r w:rsidRPr="001D54AA">
      <w:rPr>
        <w:rFonts w:ascii="Titillium Web" w:hAnsi="Titillium Web"/>
        <w:sz w:val="16"/>
        <w:szCs w:val="16"/>
      </w:rPr>
      <w:t xml:space="preserve">; </w:t>
    </w:r>
    <w:hyperlink r:id="rId2" w:history="1">
      <w:r w:rsidRPr="001D54AA">
        <w:rPr>
          <w:rStyle w:val="Hyperlink"/>
          <w:rFonts w:ascii="Titillium Web" w:hAnsi="Titillium Web"/>
          <w:sz w:val="16"/>
          <w:szCs w:val="16"/>
        </w:rPr>
        <w:t>dip.scienze-chimiche@pec.unina.it</w:t>
      </w:r>
    </w:hyperlink>
  </w:p>
  <w:p w14:paraId="7247158B" w14:textId="77777777" w:rsidR="001D54AA" w:rsidRDefault="001D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41DF" w14:textId="77777777" w:rsidR="007D1F0B" w:rsidRDefault="007D1F0B" w:rsidP="001E56CC">
      <w:pPr>
        <w:spacing w:after="0" w:line="240" w:lineRule="auto"/>
      </w:pPr>
      <w:r>
        <w:separator/>
      </w:r>
    </w:p>
  </w:footnote>
  <w:footnote w:type="continuationSeparator" w:id="0">
    <w:p w14:paraId="333A3CEA" w14:textId="77777777" w:rsidR="007D1F0B" w:rsidRDefault="007D1F0B" w:rsidP="001E5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2C99" w14:textId="261AE016" w:rsidR="00866586" w:rsidRDefault="00866586" w:rsidP="00866586">
    <w:pPr>
      <w:pStyle w:val="Header"/>
      <w:tabs>
        <w:tab w:val="clear" w:pos="9638"/>
      </w:tabs>
      <w:ind w:left="-1134" w:right="-1134"/>
    </w:pPr>
    <w:r>
      <w:rPr>
        <w:noProof/>
      </w:rPr>
      <w:drawing>
        <wp:anchor distT="0" distB="0" distL="114300" distR="114300" simplePos="0" relativeHeight="251671552" behindDoc="0" locked="0" layoutInCell="1" allowOverlap="1" wp14:anchorId="4E00D601" wp14:editId="3016DE3B">
          <wp:simplePos x="0" y="0"/>
          <wp:positionH relativeFrom="margin">
            <wp:posOffset>5185410</wp:posOffset>
          </wp:positionH>
          <wp:positionV relativeFrom="paragraph">
            <wp:posOffset>223520</wp:posOffset>
          </wp:positionV>
          <wp:extent cx="1266825" cy="497715"/>
          <wp:effectExtent l="0" t="0" r="0" b="0"/>
          <wp:wrapNone/>
          <wp:docPr id="1438069006" name="Immagine 1438069006" descr="Immagine che contiene testo, schermata, software,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09147" name="Immagine 1" descr="Immagine che contiene testo, schermata, software, Pagina Web&#10;&#10;Descrizione generata automaticamente"/>
                  <pic:cNvPicPr/>
                </pic:nvPicPr>
                <pic:blipFill rotWithShape="1">
                  <a:blip r:embed="rId1">
                    <a:extLst>
                      <a:ext uri="{28A0092B-C50C-407E-A947-70E740481C1C}">
                        <a14:useLocalDpi xmlns:a14="http://schemas.microsoft.com/office/drawing/2010/main" val="0"/>
                      </a:ext>
                    </a:extLst>
                  </a:blip>
                  <a:srcRect l="79112" t="18805" r="9356" b="73135"/>
                  <a:stretch/>
                </pic:blipFill>
                <pic:spPr bwMode="auto">
                  <a:xfrm>
                    <a:off x="0" y="0"/>
                    <a:ext cx="1266825" cy="497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2822D6D" wp14:editId="0FD26CFD">
          <wp:extent cx="7654452" cy="1183341"/>
          <wp:effectExtent l="0" t="0" r="3810" b="0"/>
          <wp:docPr id="1830574176" name="Immagine 1830574176"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chermata, Carattere,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654452" cy="1183341"/>
                  </a:xfrm>
                  <a:prstGeom prst="rect">
                    <a:avLst/>
                  </a:prstGeom>
                </pic:spPr>
              </pic:pic>
            </a:graphicData>
          </a:graphic>
        </wp:inline>
      </w:drawing>
    </w:r>
  </w:p>
  <w:p w14:paraId="64440E37" w14:textId="5FEBAAED" w:rsidR="00F647C1" w:rsidRDefault="00F647C1" w:rsidP="009636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6BD"/>
    <w:multiLevelType w:val="hybridMultilevel"/>
    <w:tmpl w:val="39EEEA20"/>
    <w:lvl w:ilvl="0" w:tplc="CAA01AD8">
      <w:start w:val="1"/>
      <w:numFmt w:val="bullet"/>
      <w:lvlText w:val="-"/>
      <w:lvlJc w:val="left"/>
      <w:pPr>
        <w:ind w:left="720" w:hanging="360"/>
      </w:pPr>
      <w:rPr>
        <w:rFonts w:ascii="TimesNewRomanPSMT" w:eastAsia="Times New Roman" w:hAnsi="TimesNewRomanPSMT"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533A61"/>
    <w:multiLevelType w:val="hybridMultilevel"/>
    <w:tmpl w:val="ADDAF022"/>
    <w:lvl w:ilvl="0" w:tplc="70A03E0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804564"/>
    <w:multiLevelType w:val="hybridMultilevel"/>
    <w:tmpl w:val="CCB250B0"/>
    <w:lvl w:ilvl="0" w:tplc="3932904A">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F76CC"/>
    <w:multiLevelType w:val="hybridMultilevel"/>
    <w:tmpl w:val="662E8C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99B2762"/>
    <w:multiLevelType w:val="hybridMultilevel"/>
    <w:tmpl w:val="249C000E"/>
    <w:lvl w:ilvl="0" w:tplc="94D6682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 w15:restartNumberingAfterBreak="0">
    <w:nsid w:val="0ABD284B"/>
    <w:multiLevelType w:val="hybridMultilevel"/>
    <w:tmpl w:val="F47A6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AF65DB"/>
    <w:multiLevelType w:val="hybridMultilevel"/>
    <w:tmpl w:val="C5562FFC"/>
    <w:lvl w:ilvl="0" w:tplc="E5207AB4">
      <w:numFmt w:val="bullet"/>
      <w:lvlText w:val="-"/>
      <w:lvlJc w:val="left"/>
      <w:pPr>
        <w:ind w:left="1065" w:hanging="360"/>
      </w:pPr>
      <w:rPr>
        <w:rFonts w:ascii="Times New Roman" w:eastAsia="Calibri"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7" w15:restartNumberingAfterBreak="0">
    <w:nsid w:val="0EA0311B"/>
    <w:multiLevelType w:val="hybridMultilevel"/>
    <w:tmpl w:val="F508D8AE"/>
    <w:lvl w:ilvl="0" w:tplc="70A03E0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7A0040"/>
    <w:multiLevelType w:val="hybridMultilevel"/>
    <w:tmpl w:val="99EA2A3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0FC100AE"/>
    <w:multiLevelType w:val="hybridMultilevel"/>
    <w:tmpl w:val="B2341636"/>
    <w:lvl w:ilvl="0" w:tplc="0410000D">
      <w:start w:val="1"/>
      <w:numFmt w:val="bullet"/>
      <w:lvlText w:val=""/>
      <w:lvlJc w:val="left"/>
      <w:pPr>
        <w:ind w:left="720" w:hanging="360"/>
      </w:pPr>
      <w:rPr>
        <w:rFonts w:ascii="Wingdings" w:hAnsi="Wingdings" w:hint="default"/>
      </w:rPr>
    </w:lvl>
    <w:lvl w:ilvl="1" w:tplc="9350FF3C">
      <w:start w:val="19"/>
      <w:numFmt w:val="bullet"/>
      <w:lvlText w:val="•"/>
      <w:lvlJc w:val="left"/>
      <w:pPr>
        <w:ind w:left="1440" w:hanging="360"/>
      </w:pPr>
      <w:rPr>
        <w:rFonts w:ascii="Titillium Web" w:eastAsia="Times New Roman" w:hAnsi="Titillium Web"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5126A1"/>
    <w:multiLevelType w:val="hybridMultilevel"/>
    <w:tmpl w:val="2C10BC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56D3DDE"/>
    <w:multiLevelType w:val="hybridMultilevel"/>
    <w:tmpl w:val="8D3CC8E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6B540EC"/>
    <w:multiLevelType w:val="hybridMultilevel"/>
    <w:tmpl w:val="ED2C4696"/>
    <w:lvl w:ilvl="0" w:tplc="0A1ACB62">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5E5D60"/>
    <w:multiLevelType w:val="hybridMultilevel"/>
    <w:tmpl w:val="D2C0B70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1DD82BF0"/>
    <w:multiLevelType w:val="hybridMultilevel"/>
    <w:tmpl w:val="C76AC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DFB638C"/>
    <w:multiLevelType w:val="hybridMultilevel"/>
    <w:tmpl w:val="8E2A7F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D666D7A"/>
    <w:multiLevelType w:val="hybridMultilevel"/>
    <w:tmpl w:val="9C7CE5D0"/>
    <w:lvl w:ilvl="0" w:tplc="2180A8A2">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1512A89"/>
    <w:multiLevelType w:val="hybridMultilevel"/>
    <w:tmpl w:val="0D164E38"/>
    <w:lvl w:ilvl="0" w:tplc="15C455E4">
      <w:start w:val="1"/>
      <w:numFmt w:val="decimal"/>
      <w:lvlText w:val="%1)"/>
      <w:lvlJc w:val="left"/>
      <w:pPr>
        <w:ind w:left="644"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006559"/>
    <w:multiLevelType w:val="hybridMultilevel"/>
    <w:tmpl w:val="A05A1EA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A137D"/>
    <w:multiLevelType w:val="hybridMultilevel"/>
    <w:tmpl w:val="AA5AB73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2FB146A"/>
    <w:multiLevelType w:val="hybridMultilevel"/>
    <w:tmpl w:val="38FEB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D63E38"/>
    <w:multiLevelType w:val="hybridMultilevel"/>
    <w:tmpl w:val="9C34DE1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3C484789"/>
    <w:multiLevelType w:val="hybridMultilevel"/>
    <w:tmpl w:val="46548178"/>
    <w:lvl w:ilvl="0" w:tplc="0410000F">
      <w:start w:val="1"/>
      <w:numFmt w:val="decimal"/>
      <w:lvlText w:val="%1."/>
      <w:lvlJc w:val="left"/>
      <w:pPr>
        <w:ind w:left="727" w:hanging="360"/>
      </w:p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24" w15:restartNumberingAfterBreak="0">
    <w:nsid w:val="41383ECA"/>
    <w:multiLevelType w:val="hybridMultilevel"/>
    <w:tmpl w:val="FB605248"/>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442E6081"/>
    <w:multiLevelType w:val="hybridMultilevel"/>
    <w:tmpl w:val="1AD48D60"/>
    <w:lvl w:ilvl="0" w:tplc="543A8CA6">
      <w:start w:val="5"/>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837235B"/>
    <w:multiLevelType w:val="hybridMultilevel"/>
    <w:tmpl w:val="A27E446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8F23C58"/>
    <w:multiLevelType w:val="hybridMultilevel"/>
    <w:tmpl w:val="CC6259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8B2CA5"/>
    <w:multiLevelType w:val="hybridMultilevel"/>
    <w:tmpl w:val="BD3E6B48"/>
    <w:lvl w:ilvl="0" w:tplc="70A03E0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B887176"/>
    <w:multiLevelType w:val="hybridMultilevel"/>
    <w:tmpl w:val="29BA0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AA73DA"/>
    <w:multiLevelType w:val="hybridMultilevel"/>
    <w:tmpl w:val="8FCE6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6553E2"/>
    <w:multiLevelType w:val="hybridMultilevel"/>
    <w:tmpl w:val="29E0D0EC"/>
    <w:lvl w:ilvl="0" w:tplc="543A8CA6">
      <w:start w:val="5"/>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3DD7185"/>
    <w:multiLevelType w:val="hybridMultilevel"/>
    <w:tmpl w:val="885CA85E"/>
    <w:lvl w:ilvl="0" w:tplc="AA062506">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FC139F"/>
    <w:multiLevelType w:val="hybridMultilevel"/>
    <w:tmpl w:val="BCC8D0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65053221"/>
    <w:multiLevelType w:val="hybridMultilevel"/>
    <w:tmpl w:val="18ACC1CC"/>
    <w:lvl w:ilvl="0" w:tplc="B7EA000C">
      <w:numFmt w:val="bullet"/>
      <w:lvlText w:val="-"/>
      <w:lvlJc w:val="left"/>
      <w:pPr>
        <w:ind w:left="786" w:hanging="360"/>
      </w:pPr>
      <w:rPr>
        <w:rFonts w:ascii="TimesNewRomanPSMT" w:eastAsia="Times New Roman" w:hAnsi="TimesNewRomanPSMT" w:cs="Times New Roman" w:hint="default"/>
        <w:b/>
        <w:u w:val="none"/>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5" w15:restartNumberingAfterBreak="0">
    <w:nsid w:val="65652263"/>
    <w:multiLevelType w:val="hybridMultilevel"/>
    <w:tmpl w:val="E79607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C0C79"/>
    <w:multiLevelType w:val="hybridMultilevel"/>
    <w:tmpl w:val="E30A9BB8"/>
    <w:lvl w:ilvl="0" w:tplc="04100011">
      <w:start w:val="1"/>
      <w:numFmt w:val="decimal"/>
      <w:lvlText w:val="%1)"/>
      <w:lvlJc w:val="left"/>
      <w:pPr>
        <w:ind w:left="720"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416879"/>
    <w:multiLevelType w:val="hybridMultilevel"/>
    <w:tmpl w:val="159A17C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C8878DE"/>
    <w:multiLevelType w:val="hybridMultilevel"/>
    <w:tmpl w:val="5F66348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DEB1E37"/>
    <w:multiLevelType w:val="hybridMultilevel"/>
    <w:tmpl w:val="B798E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130869"/>
    <w:multiLevelType w:val="hybridMultilevel"/>
    <w:tmpl w:val="FC98211A"/>
    <w:lvl w:ilvl="0" w:tplc="5B66C590">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24523"/>
    <w:multiLevelType w:val="hybridMultilevel"/>
    <w:tmpl w:val="46D6D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9BD1EF2"/>
    <w:multiLevelType w:val="hybridMultilevel"/>
    <w:tmpl w:val="A5C05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EBE1E71"/>
    <w:multiLevelType w:val="hybridMultilevel"/>
    <w:tmpl w:val="2ACE8EEA"/>
    <w:lvl w:ilvl="0" w:tplc="BAA4A422">
      <w:start w:val="1"/>
      <w:numFmt w:val="decimal"/>
      <w:lvlText w:val="%1)"/>
      <w:lvlJc w:val="left"/>
      <w:pPr>
        <w:ind w:left="720" w:hanging="360"/>
      </w:pPr>
      <w:rPr>
        <w:rFonts w:eastAsia="Times New Roman" w:cstheme="minorHAns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F2CDC"/>
    <w:multiLevelType w:val="hybridMultilevel"/>
    <w:tmpl w:val="4FFE2080"/>
    <w:lvl w:ilvl="0" w:tplc="A2A89A0C">
      <w:start w:val="1"/>
      <w:numFmt w:val="lowerLetter"/>
      <w:lvlText w:val="%1)"/>
      <w:lvlJc w:val="left"/>
      <w:pPr>
        <w:ind w:left="720" w:hanging="360"/>
      </w:pPr>
      <w:rPr>
        <w:rFonts w:hint="default"/>
        <w:b/>
        <w:bCs/>
        <w:i w:val="0"/>
        <w:iCs w:val="0"/>
      </w:rPr>
    </w:lvl>
    <w:lvl w:ilvl="1" w:tplc="C5328978">
      <w:start w:val="1"/>
      <w:numFmt w:val="decimal"/>
      <w:lvlText w:val="%2)"/>
      <w:lvlJc w:val="left"/>
      <w:pPr>
        <w:ind w:left="1440" w:hanging="360"/>
      </w:pPr>
      <w:rPr>
        <w:rFonts w:hint="default"/>
      </w:rPr>
    </w:lvl>
    <w:lvl w:ilvl="2" w:tplc="55262076">
      <w:start w:val="1"/>
      <w:numFmt w:val="upp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48223501">
    <w:abstractNumId w:val="29"/>
  </w:num>
  <w:num w:numId="2" w16cid:durableId="1468474874">
    <w:abstractNumId w:val="7"/>
  </w:num>
  <w:num w:numId="3" w16cid:durableId="1733042566">
    <w:abstractNumId w:val="28"/>
  </w:num>
  <w:num w:numId="4" w16cid:durableId="127550884">
    <w:abstractNumId w:val="1"/>
  </w:num>
  <w:num w:numId="5" w16cid:durableId="1305937006">
    <w:abstractNumId w:val="14"/>
  </w:num>
  <w:num w:numId="6" w16cid:durableId="1126699005">
    <w:abstractNumId w:val="42"/>
  </w:num>
  <w:num w:numId="7" w16cid:durableId="1346706948">
    <w:abstractNumId w:val="39"/>
  </w:num>
  <w:num w:numId="8" w16cid:durableId="1954048834">
    <w:abstractNumId w:val="38"/>
  </w:num>
  <w:num w:numId="9" w16cid:durableId="2088647595">
    <w:abstractNumId w:val="37"/>
  </w:num>
  <w:num w:numId="10" w16cid:durableId="1974365834">
    <w:abstractNumId w:val="8"/>
  </w:num>
  <w:num w:numId="11" w16cid:durableId="537593303">
    <w:abstractNumId w:val="11"/>
  </w:num>
  <w:num w:numId="12" w16cid:durableId="1560824939">
    <w:abstractNumId w:val="10"/>
  </w:num>
  <w:num w:numId="13" w16cid:durableId="1601839269">
    <w:abstractNumId w:val="22"/>
  </w:num>
  <w:num w:numId="14" w16cid:durableId="1078478889">
    <w:abstractNumId w:val="5"/>
  </w:num>
  <w:num w:numId="15" w16cid:durableId="1108508296">
    <w:abstractNumId w:val="30"/>
  </w:num>
  <w:num w:numId="16" w16cid:durableId="279919443">
    <w:abstractNumId w:val="13"/>
  </w:num>
  <w:num w:numId="17" w16cid:durableId="1098451218">
    <w:abstractNumId w:val="19"/>
  </w:num>
  <w:num w:numId="18" w16cid:durableId="1048921345">
    <w:abstractNumId w:val="3"/>
  </w:num>
  <w:num w:numId="19" w16cid:durableId="682362702">
    <w:abstractNumId w:val="33"/>
  </w:num>
  <w:num w:numId="20" w16cid:durableId="133841670">
    <w:abstractNumId w:val="26"/>
  </w:num>
  <w:num w:numId="21" w16cid:durableId="590236564">
    <w:abstractNumId w:val="31"/>
  </w:num>
  <w:num w:numId="22" w16cid:durableId="1512841946">
    <w:abstractNumId w:val="24"/>
  </w:num>
  <w:num w:numId="23" w16cid:durableId="963006358">
    <w:abstractNumId w:val="25"/>
  </w:num>
  <w:num w:numId="24" w16cid:durableId="283461021">
    <w:abstractNumId w:val="2"/>
  </w:num>
  <w:num w:numId="25" w16cid:durableId="1876119091">
    <w:abstractNumId w:val="6"/>
  </w:num>
  <w:num w:numId="26" w16cid:durableId="1173032055">
    <w:abstractNumId w:val="27"/>
  </w:num>
  <w:num w:numId="27" w16cid:durableId="1074813333">
    <w:abstractNumId w:val="4"/>
  </w:num>
  <w:num w:numId="28" w16cid:durableId="773479782">
    <w:abstractNumId w:val="15"/>
  </w:num>
  <w:num w:numId="29" w16cid:durableId="2091655979">
    <w:abstractNumId w:val="44"/>
  </w:num>
  <w:num w:numId="30" w16cid:durableId="2007203043">
    <w:abstractNumId w:val="16"/>
  </w:num>
  <w:num w:numId="31" w16cid:durableId="385181836">
    <w:abstractNumId w:val="12"/>
  </w:num>
  <w:num w:numId="32" w16cid:durableId="933172366">
    <w:abstractNumId w:val="35"/>
  </w:num>
  <w:num w:numId="33" w16cid:durableId="1536695070">
    <w:abstractNumId w:val="32"/>
  </w:num>
  <w:num w:numId="34" w16cid:durableId="594023986">
    <w:abstractNumId w:val="18"/>
  </w:num>
  <w:num w:numId="35" w16cid:durableId="677467333">
    <w:abstractNumId w:val="40"/>
  </w:num>
  <w:num w:numId="36" w16cid:durableId="462041684">
    <w:abstractNumId w:val="20"/>
  </w:num>
  <w:num w:numId="37" w16cid:durableId="883058356">
    <w:abstractNumId w:val="34"/>
  </w:num>
  <w:num w:numId="38" w16cid:durableId="255016633">
    <w:abstractNumId w:val="36"/>
  </w:num>
  <w:num w:numId="39" w16cid:durableId="1175456977">
    <w:abstractNumId w:val="0"/>
  </w:num>
  <w:num w:numId="40" w16cid:durableId="110132471">
    <w:abstractNumId w:val="21"/>
  </w:num>
  <w:num w:numId="41" w16cid:durableId="1663925362">
    <w:abstractNumId w:val="17"/>
  </w:num>
  <w:num w:numId="42" w16cid:durableId="113452598">
    <w:abstractNumId w:val="9"/>
  </w:num>
  <w:num w:numId="43" w16cid:durableId="766344946">
    <w:abstractNumId w:val="23"/>
  </w:num>
  <w:num w:numId="44" w16cid:durableId="1564827766">
    <w:abstractNumId w:val="43"/>
  </w:num>
  <w:num w:numId="45" w16cid:durableId="87689711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3E"/>
    <w:rsid w:val="000122CD"/>
    <w:rsid w:val="000138CB"/>
    <w:rsid w:val="000215E6"/>
    <w:rsid w:val="00024655"/>
    <w:rsid w:val="00026333"/>
    <w:rsid w:val="00030E10"/>
    <w:rsid w:val="0003528B"/>
    <w:rsid w:val="0003712A"/>
    <w:rsid w:val="000417C2"/>
    <w:rsid w:val="00045C6B"/>
    <w:rsid w:val="0005781A"/>
    <w:rsid w:val="00060E1B"/>
    <w:rsid w:val="00066CDC"/>
    <w:rsid w:val="00076F95"/>
    <w:rsid w:val="0007755C"/>
    <w:rsid w:val="00082326"/>
    <w:rsid w:val="00084948"/>
    <w:rsid w:val="00085612"/>
    <w:rsid w:val="00086648"/>
    <w:rsid w:val="000874C5"/>
    <w:rsid w:val="00094CF3"/>
    <w:rsid w:val="000A15F3"/>
    <w:rsid w:val="000A289E"/>
    <w:rsid w:val="000A31CD"/>
    <w:rsid w:val="000A347D"/>
    <w:rsid w:val="000A6F4B"/>
    <w:rsid w:val="000A7E7A"/>
    <w:rsid w:val="000B79B5"/>
    <w:rsid w:val="000C22F9"/>
    <w:rsid w:val="000E2659"/>
    <w:rsid w:val="000E4571"/>
    <w:rsid w:val="000E6EB8"/>
    <w:rsid w:val="000F34FA"/>
    <w:rsid w:val="001009FB"/>
    <w:rsid w:val="0010264B"/>
    <w:rsid w:val="00104D40"/>
    <w:rsid w:val="001065C0"/>
    <w:rsid w:val="00116A3A"/>
    <w:rsid w:val="00116F18"/>
    <w:rsid w:val="0013200C"/>
    <w:rsid w:val="00135583"/>
    <w:rsid w:val="00136199"/>
    <w:rsid w:val="0014317E"/>
    <w:rsid w:val="001448F0"/>
    <w:rsid w:val="00144D8E"/>
    <w:rsid w:val="0014727F"/>
    <w:rsid w:val="001508B5"/>
    <w:rsid w:val="001519D7"/>
    <w:rsid w:val="00155178"/>
    <w:rsid w:val="00156633"/>
    <w:rsid w:val="00157F9F"/>
    <w:rsid w:val="001623BB"/>
    <w:rsid w:val="00167F2D"/>
    <w:rsid w:val="00170E37"/>
    <w:rsid w:val="00175CD2"/>
    <w:rsid w:val="0018190E"/>
    <w:rsid w:val="00181C40"/>
    <w:rsid w:val="00181CC2"/>
    <w:rsid w:val="0018481A"/>
    <w:rsid w:val="0018513D"/>
    <w:rsid w:val="00186AFC"/>
    <w:rsid w:val="0019114E"/>
    <w:rsid w:val="00191E58"/>
    <w:rsid w:val="00194764"/>
    <w:rsid w:val="00194A81"/>
    <w:rsid w:val="00196105"/>
    <w:rsid w:val="00197686"/>
    <w:rsid w:val="001A42EF"/>
    <w:rsid w:val="001A5658"/>
    <w:rsid w:val="001B4C44"/>
    <w:rsid w:val="001B6AD7"/>
    <w:rsid w:val="001C1ECF"/>
    <w:rsid w:val="001C5363"/>
    <w:rsid w:val="001D08B0"/>
    <w:rsid w:val="001D4878"/>
    <w:rsid w:val="001D54AA"/>
    <w:rsid w:val="001E56CC"/>
    <w:rsid w:val="001F23C5"/>
    <w:rsid w:val="001F673F"/>
    <w:rsid w:val="001F6931"/>
    <w:rsid w:val="00201EB8"/>
    <w:rsid w:val="00203437"/>
    <w:rsid w:val="002036B3"/>
    <w:rsid w:val="00203C16"/>
    <w:rsid w:val="002045E0"/>
    <w:rsid w:val="00206CB5"/>
    <w:rsid w:val="00214F3D"/>
    <w:rsid w:val="002267AD"/>
    <w:rsid w:val="00232D2D"/>
    <w:rsid w:val="00232F85"/>
    <w:rsid w:val="00234194"/>
    <w:rsid w:val="002374F6"/>
    <w:rsid w:val="002421D7"/>
    <w:rsid w:val="002430D2"/>
    <w:rsid w:val="002444AA"/>
    <w:rsid w:val="00244D22"/>
    <w:rsid w:val="00245119"/>
    <w:rsid w:val="0024638B"/>
    <w:rsid w:val="002534E2"/>
    <w:rsid w:val="00255117"/>
    <w:rsid w:val="00265D5C"/>
    <w:rsid w:val="00275904"/>
    <w:rsid w:val="00280758"/>
    <w:rsid w:val="00284EAF"/>
    <w:rsid w:val="002877A5"/>
    <w:rsid w:val="00287F4F"/>
    <w:rsid w:val="002926CE"/>
    <w:rsid w:val="00297F56"/>
    <w:rsid w:val="002A0237"/>
    <w:rsid w:val="002A100E"/>
    <w:rsid w:val="002A4364"/>
    <w:rsid w:val="002A4D62"/>
    <w:rsid w:val="002A54CE"/>
    <w:rsid w:val="002A5D56"/>
    <w:rsid w:val="002A7DC5"/>
    <w:rsid w:val="002B3974"/>
    <w:rsid w:val="002B5A07"/>
    <w:rsid w:val="002C6C24"/>
    <w:rsid w:val="002D241B"/>
    <w:rsid w:val="002D2458"/>
    <w:rsid w:val="002D57A3"/>
    <w:rsid w:val="002D60A2"/>
    <w:rsid w:val="002D7036"/>
    <w:rsid w:val="002E1F20"/>
    <w:rsid w:val="002E447E"/>
    <w:rsid w:val="002E6D67"/>
    <w:rsid w:val="002F29B7"/>
    <w:rsid w:val="002F4B13"/>
    <w:rsid w:val="002F63AC"/>
    <w:rsid w:val="0030562D"/>
    <w:rsid w:val="00317184"/>
    <w:rsid w:val="00322CEC"/>
    <w:rsid w:val="00323369"/>
    <w:rsid w:val="00330CDD"/>
    <w:rsid w:val="00340B2A"/>
    <w:rsid w:val="003530D3"/>
    <w:rsid w:val="00353C6A"/>
    <w:rsid w:val="00355B7B"/>
    <w:rsid w:val="003610C8"/>
    <w:rsid w:val="00361376"/>
    <w:rsid w:val="00362029"/>
    <w:rsid w:val="0036583E"/>
    <w:rsid w:val="00366A70"/>
    <w:rsid w:val="00371CDE"/>
    <w:rsid w:val="00373A8C"/>
    <w:rsid w:val="00375568"/>
    <w:rsid w:val="00382EC9"/>
    <w:rsid w:val="00387D72"/>
    <w:rsid w:val="00393F02"/>
    <w:rsid w:val="003B3A24"/>
    <w:rsid w:val="003C391F"/>
    <w:rsid w:val="003C6296"/>
    <w:rsid w:val="003C7D54"/>
    <w:rsid w:val="003D172F"/>
    <w:rsid w:val="003D7B9D"/>
    <w:rsid w:val="003E05E8"/>
    <w:rsid w:val="003E1067"/>
    <w:rsid w:val="003E68B5"/>
    <w:rsid w:val="003E70D5"/>
    <w:rsid w:val="003F2203"/>
    <w:rsid w:val="003F3910"/>
    <w:rsid w:val="003F5744"/>
    <w:rsid w:val="003F6A01"/>
    <w:rsid w:val="003F6C68"/>
    <w:rsid w:val="004067E3"/>
    <w:rsid w:val="004104E6"/>
    <w:rsid w:val="0041117A"/>
    <w:rsid w:val="00411C7C"/>
    <w:rsid w:val="004142AE"/>
    <w:rsid w:val="00420397"/>
    <w:rsid w:val="00421116"/>
    <w:rsid w:val="0042308B"/>
    <w:rsid w:val="004241AA"/>
    <w:rsid w:val="00425FFC"/>
    <w:rsid w:val="00426B34"/>
    <w:rsid w:val="00432BE3"/>
    <w:rsid w:val="004349B7"/>
    <w:rsid w:val="004423D3"/>
    <w:rsid w:val="004437D8"/>
    <w:rsid w:val="0044479F"/>
    <w:rsid w:val="00450918"/>
    <w:rsid w:val="00451DDE"/>
    <w:rsid w:val="00452EBE"/>
    <w:rsid w:val="0046039C"/>
    <w:rsid w:val="004618A7"/>
    <w:rsid w:val="004631B3"/>
    <w:rsid w:val="00465372"/>
    <w:rsid w:val="00471FF0"/>
    <w:rsid w:val="0047453D"/>
    <w:rsid w:val="0047477E"/>
    <w:rsid w:val="004768AA"/>
    <w:rsid w:val="00480EB6"/>
    <w:rsid w:val="00482DC2"/>
    <w:rsid w:val="00483325"/>
    <w:rsid w:val="00484EA1"/>
    <w:rsid w:val="00487508"/>
    <w:rsid w:val="00493888"/>
    <w:rsid w:val="00495E6C"/>
    <w:rsid w:val="00497892"/>
    <w:rsid w:val="004A0712"/>
    <w:rsid w:val="004A75E8"/>
    <w:rsid w:val="004B16C9"/>
    <w:rsid w:val="004B2E72"/>
    <w:rsid w:val="004B4AAF"/>
    <w:rsid w:val="004B7E92"/>
    <w:rsid w:val="004C57AD"/>
    <w:rsid w:val="004C6E57"/>
    <w:rsid w:val="004D19C9"/>
    <w:rsid w:val="004D4211"/>
    <w:rsid w:val="004D49A1"/>
    <w:rsid w:val="004D6C33"/>
    <w:rsid w:val="004F10BE"/>
    <w:rsid w:val="004F2D92"/>
    <w:rsid w:val="00505EFD"/>
    <w:rsid w:val="00507B65"/>
    <w:rsid w:val="00510D86"/>
    <w:rsid w:val="00511471"/>
    <w:rsid w:val="00515878"/>
    <w:rsid w:val="00523D2A"/>
    <w:rsid w:val="005341E6"/>
    <w:rsid w:val="005413A7"/>
    <w:rsid w:val="005429ED"/>
    <w:rsid w:val="0054528E"/>
    <w:rsid w:val="0056096D"/>
    <w:rsid w:val="00560C9D"/>
    <w:rsid w:val="00563790"/>
    <w:rsid w:val="00564962"/>
    <w:rsid w:val="00572B81"/>
    <w:rsid w:val="005801BB"/>
    <w:rsid w:val="00582495"/>
    <w:rsid w:val="0058311E"/>
    <w:rsid w:val="00585CD3"/>
    <w:rsid w:val="005863B7"/>
    <w:rsid w:val="00592CAF"/>
    <w:rsid w:val="005953CA"/>
    <w:rsid w:val="005A0996"/>
    <w:rsid w:val="005A447D"/>
    <w:rsid w:val="005A4BFA"/>
    <w:rsid w:val="005A6C6F"/>
    <w:rsid w:val="005A7DE9"/>
    <w:rsid w:val="005B29CF"/>
    <w:rsid w:val="005B2BCC"/>
    <w:rsid w:val="005C0302"/>
    <w:rsid w:val="005C08A8"/>
    <w:rsid w:val="005C29B4"/>
    <w:rsid w:val="005C54DF"/>
    <w:rsid w:val="005D1A52"/>
    <w:rsid w:val="005D1D56"/>
    <w:rsid w:val="005D50C7"/>
    <w:rsid w:val="005D74B6"/>
    <w:rsid w:val="005E1A32"/>
    <w:rsid w:val="005E2E2D"/>
    <w:rsid w:val="005E3147"/>
    <w:rsid w:val="005E7A89"/>
    <w:rsid w:val="006026D9"/>
    <w:rsid w:val="00610AF1"/>
    <w:rsid w:val="0061381C"/>
    <w:rsid w:val="00614AE5"/>
    <w:rsid w:val="00614EED"/>
    <w:rsid w:val="00616E1E"/>
    <w:rsid w:val="00617B9F"/>
    <w:rsid w:val="00622196"/>
    <w:rsid w:val="006242B5"/>
    <w:rsid w:val="00625837"/>
    <w:rsid w:val="00627DE7"/>
    <w:rsid w:val="00640244"/>
    <w:rsid w:val="0064310A"/>
    <w:rsid w:val="00645AD1"/>
    <w:rsid w:val="006476D1"/>
    <w:rsid w:val="00652ED1"/>
    <w:rsid w:val="00661C1C"/>
    <w:rsid w:val="00672128"/>
    <w:rsid w:val="00674407"/>
    <w:rsid w:val="006842D9"/>
    <w:rsid w:val="00684E4E"/>
    <w:rsid w:val="00691E0C"/>
    <w:rsid w:val="0069414B"/>
    <w:rsid w:val="00694F2D"/>
    <w:rsid w:val="006A2714"/>
    <w:rsid w:val="006A3D38"/>
    <w:rsid w:val="006B4771"/>
    <w:rsid w:val="006B5FCA"/>
    <w:rsid w:val="006C69A0"/>
    <w:rsid w:val="006D221D"/>
    <w:rsid w:val="006D555A"/>
    <w:rsid w:val="006E14D4"/>
    <w:rsid w:val="006E194A"/>
    <w:rsid w:val="006E39FF"/>
    <w:rsid w:val="006F1B07"/>
    <w:rsid w:val="006F416D"/>
    <w:rsid w:val="006F4A07"/>
    <w:rsid w:val="006F4D21"/>
    <w:rsid w:val="00701AF5"/>
    <w:rsid w:val="00702B24"/>
    <w:rsid w:val="007041DC"/>
    <w:rsid w:val="00704720"/>
    <w:rsid w:val="00706080"/>
    <w:rsid w:val="00710A23"/>
    <w:rsid w:val="00711EB2"/>
    <w:rsid w:val="00720E02"/>
    <w:rsid w:val="00724B0D"/>
    <w:rsid w:val="00727A12"/>
    <w:rsid w:val="00735FDA"/>
    <w:rsid w:val="0074204E"/>
    <w:rsid w:val="007451C5"/>
    <w:rsid w:val="00751F73"/>
    <w:rsid w:val="0075248D"/>
    <w:rsid w:val="007530CD"/>
    <w:rsid w:val="0075485E"/>
    <w:rsid w:val="00757091"/>
    <w:rsid w:val="00765902"/>
    <w:rsid w:val="007707B0"/>
    <w:rsid w:val="007746E2"/>
    <w:rsid w:val="007766E9"/>
    <w:rsid w:val="00777C39"/>
    <w:rsid w:val="0078260B"/>
    <w:rsid w:val="0078799B"/>
    <w:rsid w:val="00790DC0"/>
    <w:rsid w:val="00795E66"/>
    <w:rsid w:val="007A0149"/>
    <w:rsid w:val="007A0F82"/>
    <w:rsid w:val="007A10BD"/>
    <w:rsid w:val="007A343C"/>
    <w:rsid w:val="007A3C0C"/>
    <w:rsid w:val="007B0DE3"/>
    <w:rsid w:val="007B4489"/>
    <w:rsid w:val="007B5521"/>
    <w:rsid w:val="007B681E"/>
    <w:rsid w:val="007C72B3"/>
    <w:rsid w:val="007D0CF9"/>
    <w:rsid w:val="007D1F0B"/>
    <w:rsid w:val="007D384B"/>
    <w:rsid w:val="007F0C8A"/>
    <w:rsid w:val="007F6CAC"/>
    <w:rsid w:val="0080059E"/>
    <w:rsid w:val="00804AB3"/>
    <w:rsid w:val="00807E7A"/>
    <w:rsid w:val="0081121B"/>
    <w:rsid w:val="00811B41"/>
    <w:rsid w:val="00814508"/>
    <w:rsid w:val="008226E5"/>
    <w:rsid w:val="00822F09"/>
    <w:rsid w:val="00825E3A"/>
    <w:rsid w:val="00826401"/>
    <w:rsid w:val="00831CFD"/>
    <w:rsid w:val="00834577"/>
    <w:rsid w:val="00834D8E"/>
    <w:rsid w:val="008369C9"/>
    <w:rsid w:val="008408A0"/>
    <w:rsid w:val="00846F2E"/>
    <w:rsid w:val="008530B1"/>
    <w:rsid w:val="0085493C"/>
    <w:rsid w:val="008552A8"/>
    <w:rsid w:val="00860DA3"/>
    <w:rsid w:val="00866586"/>
    <w:rsid w:val="00870894"/>
    <w:rsid w:val="00873CE3"/>
    <w:rsid w:val="00884EE8"/>
    <w:rsid w:val="00891C30"/>
    <w:rsid w:val="0089554F"/>
    <w:rsid w:val="00896EC8"/>
    <w:rsid w:val="00897CB4"/>
    <w:rsid w:val="008A0AC3"/>
    <w:rsid w:val="008A169C"/>
    <w:rsid w:val="008B2B82"/>
    <w:rsid w:val="008B472A"/>
    <w:rsid w:val="008C2521"/>
    <w:rsid w:val="008C2A2E"/>
    <w:rsid w:val="008C54CF"/>
    <w:rsid w:val="008C5E26"/>
    <w:rsid w:val="008C6019"/>
    <w:rsid w:val="008C68F5"/>
    <w:rsid w:val="008D1F94"/>
    <w:rsid w:val="008D1FDC"/>
    <w:rsid w:val="008D367F"/>
    <w:rsid w:val="008D6A24"/>
    <w:rsid w:val="008D6F16"/>
    <w:rsid w:val="008E1B2D"/>
    <w:rsid w:val="008E2D72"/>
    <w:rsid w:val="008E39CE"/>
    <w:rsid w:val="008E7044"/>
    <w:rsid w:val="0090043F"/>
    <w:rsid w:val="0090617A"/>
    <w:rsid w:val="009062C1"/>
    <w:rsid w:val="009110B0"/>
    <w:rsid w:val="00924B27"/>
    <w:rsid w:val="009250D8"/>
    <w:rsid w:val="0093031E"/>
    <w:rsid w:val="009305F1"/>
    <w:rsid w:val="009313CA"/>
    <w:rsid w:val="0093190C"/>
    <w:rsid w:val="00931CD0"/>
    <w:rsid w:val="009338FC"/>
    <w:rsid w:val="00935475"/>
    <w:rsid w:val="00942769"/>
    <w:rsid w:val="00945EE0"/>
    <w:rsid w:val="00952ADE"/>
    <w:rsid w:val="00953D08"/>
    <w:rsid w:val="009540CE"/>
    <w:rsid w:val="00956E8A"/>
    <w:rsid w:val="009636AA"/>
    <w:rsid w:val="00972F14"/>
    <w:rsid w:val="00982482"/>
    <w:rsid w:val="00982E98"/>
    <w:rsid w:val="0098330A"/>
    <w:rsid w:val="00986455"/>
    <w:rsid w:val="00995571"/>
    <w:rsid w:val="009964C3"/>
    <w:rsid w:val="00996B82"/>
    <w:rsid w:val="00997F14"/>
    <w:rsid w:val="009A4D74"/>
    <w:rsid w:val="009A5AA8"/>
    <w:rsid w:val="009B2853"/>
    <w:rsid w:val="009C08B7"/>
    <w:rsid w:val="009C0BA7"/>
    <w:rsid w:val="009C6E82"/>
    <w:rsid w:val="009D6D48"/>
    <w:rsid w:val="009E3682"/>
    <w:rsid w:val="009E555F"/>
    <w:rsid w:val="009F0E19"/>
    <w:rsid w:val="009F14E0"/>
    <w:rsid w:val="009F3F3B"/>
    <w:rsid w:val="009F562B"/>
    <w:rsid w:val="00A03DC4"/>
    <w:rsid w:val="00A22BEE"/>
    <w:rsid w:val="00A249CC"/>
    <w:rsid w:val="00A27687"/>
    <w:rsid w:val="00A312C1"/>
    <w:rsid w:val="00A32A90"/>
    <w:rsid w:val="00A33B81"/>
    <w:rsid w:val="00A33EAD"/>
    <w:rsid w:val="00A412C3"/>
    <w:rsid w:val="00A413FD"/>
    <w:rsid w:val="00A41BA4"/>
    <w:rsid w:val="00A43236"/>
    <w:rsid w:val="00A47EA1"/>
    <w:rsid w:val="00A50F0A"/>
    <w:rsid w:val="00A52975"/>
    <w:rsid w:val="00A536E3"/>
    <w:rsid w:val="00A53C6B"/>
    <w:rsid w:val="00A53E29"/>
    <w:rsid w:val="00A563CA"/>
    <w:rsid w:val="00A60BB5"/>
    <w:rsid w:val="00A6308D"/>
    <w:rsid w:val="00A66BC6"/>
    <w:rsid w:val="00A72025"/>
    <w:rsid w:val="00A720A7"/>
    <w:rsid w:val="00A85C26"/>
    <w:rsid w:val="00A910C5"/>
    <w:rsid w:val="00A945F9"/>
    <w:rsid w:val="00AA5A89"/>
    <w:rsid w:val="00AA7FDD"/>
    <w:rsid w:val="00AB1D18"/>
    <w:rsid w:val="00AB4ED6"/>
    <w:rsid w:val="00AD60C8"/>
    <w:rsid w:val="00AD66FC"/>
    <w:rsid w:val="00AD7106"/>
    <w:rsid w:val="00AE1453"/>
    <w:rsid w:val="00AE3039"/>
    <w:rsid w:val="00AF018F"/>
    <w:rsid w:val="00AF6B6F"/>
    <w:rsid w:val="00B006D1"/>
    <w:rsid w:val="00B0394B"/>
    <w:rsid w:val="00B06C5E"/>
    <w:rsid w:val="00B12B9B"/>
    <w:rsid w:val="00B13AE2"/>
    <w:rsid w:val="00B153C7"/>
    <w:rsid w:val="00B202DD"/>
    <w:rsid w:val="00B20335"/>
    <w:rsid w:val="00B206B7"/>
    <w:rsid w:val="00B20F4A"/>
    <w:rsid w:val="00B26B98"/>
    <w:rsid w:val="00B27DA5"/>
    <w:rsid w:val="00B31017"/>
    <w:rsid w:val="00B43CFF"/>
    <w:rsid w:val="00B52784"/>
    <w:rsid w:val="00B52C8A"/>
    <w:rsid w:val="00B5453A"/>
    <w:rsid w:val="00B57161"/>
    <w:rsid w:val="00B62061"/>
    <w:rsid w:val="00B63395"/>
    <w:rsid w:val="00B64F7D"/>
    <w:rsid w:val="00B7563A"/>
    <w:rsid w:val="00B75A8B"/>
    <w:rsid w:val="00B7769A"/>
    <w:rsid w:val="00B80410"/>
    <w:rsid w:val="00B81F2B"/>
    <w:rsid w:val="00B86A8E"/>
    <w:rsid w:val="00B87E08"/>
    <w:rsid w:val="00B94A61"/>
    <w:rsid w:val="00B959B3"/>
    <w:rsid w:val="00B96B5F"/>
    <w:rsid w:val="00B97FD0"/>
    <w:rsid w:val="00BA6A7B"/>
    <w:rsid w:val="00BB1FC3"/>
    <w:rsid w:val="00BB56E2"/>
    <w:rsid w:val="00BD1A6F"/>
    <w:rsid w:val="00BD1D62"/>
    <w:rsid w:val="00BD221B"/>
    <w:rsid w:val="00BD3744"/>
    <w:rsid w:val="00BD3BBA"/>
    <w:rsid w:val="00BE3CBD"/>
    <w:rsid w:val="00BE65A2"/>
    <w:rsid w:val="00BF5786"/>
    <w:rsid w:val="00BF7ACE"/>
    <w:rsid w:val="00C041A6"/>
    <w:rsid w:val="00C04C40"/>
    <w:rsid w:val="00C13A50"/>
    <w:rsid w:val="00C1460B"/>
    <w:rsid w:val="00C1583D"/>
    <w:rsid w:val="00C16001"/>
    <w:rsid w:val="00C167A8"/>
    <w:rsid w:val="00C210BA"/>
    <w:rsid w:val="00C2427E"/>
    <w:rsid w:val="00C32952"/>
    <w:rsid w:val="00C35829"/>
    <w:rsid w:val="00C41B9D"/>
    <w:rsid w:val="00C41C81"/>
    <w:rsid w:val="00C41CCB"/>
    <w:rsid w:val="00C4310A"/>
    <w:rsid w:val="00C4469A"/>
    <w:rsid w:val="00C462A4"/>
    <w:rsid w:val="00C5213B"/>
    <w:rsid w:val="00C52A44"/>
    <w:rsid w:val="00C563E0"/>
    <w:rsid w:val="00C56BFB"/>
    <w:rsid w:val="00C63593"/>
    <w:rsid w:val="00C64B55"/>
    <w:rsid w:val="00C6522F"/>
    <w:rsid w:val="00C65237"/>
    <w:rsid w:val="00C700A3"/>
    <w:rsid w:val="00C70980"/>
    <w:rsid w:val="00C71F55"/>
    <w:rsid w:val="00C74387"/>
    <w:rsid w:val="00C936DA"/>
    <w:rsid w:val="00C93915"/>
    <w:rsid w:val="00C94F5D"/>
    <w:rsid w:val="00C9511C"/>
    <w:rsid w:val="00C9653E"/>
    <w:rsid w:val="00C96B0B"/>
    <w:rsid w:val="00C97222"/>
    <w:rsid w:val="00CA0412"/>
    <w:rsid w:val="00CA41B2"/>
    <w:rsid w:val="00CA4F3D"/>
    <w:rsid w:val="00CA7881"/>
    <w:rsid w:val="00CB4926"/>
    <w:rsid w:val="00CB6B7E"/>
    <w:rsid w:val="00CB724E"/>
    <w:rsid w:val="00CC1E8B"/>
    <w:rsid w:val="00CC2616"/>
    <w:rsid w:val="00CC3E52"/>
    <w:rsid w:val="00CC6D1F"/>
    <w:rsid w:val="00CD3054"/>
    <w:rsid w:val="00CD663A"/>
    <w:rsid w:val="00CD6F63"/>
    <w:rsid w:val="00CD7D39"/>
    <w:rsid w:val="00CE087C"/>
    <w:rsid w:val="00CE1C8D"/>
    <w:rsid w:val="00CE57A6"/>
    <w:rsid w:val="00CE75CB"/>
    <w:rsid w:val="00CE7D38"/>
    <w:rsid w:val="00CF1D4C"/>
    <w:rsid w:val="00CF30DC"/>
    <w:rsid w:val="00CF3882"/>
    <w:rsid w:val="00CF44D1"/>
    <w:rsid w:val="00CF457F"/>
    <w:rsid w:val="00CF49A1"/>
    <w:rsid w:val="00CF6828"/>
    <w:rsid w:val="00D00B51"/>
    <w:rsid w:val="00D0248D"/>
    <w:rsid w:val="00D02D25"/>
    <w:rsid w:val="00D0383E"/>
    <w:rsid w:val="00D04560"/>
    <w:rsid w:val="00D0786C"/>
    <w:rsid w:val="00D12044"/>
    <w:rsid w:val="00D163CB"/>
    <w:rsid w:val="00D17C52"/>
    <w:rsid w:val="00D2752D"/>
    <w:rsid w:val="00D27A90"/>
    <w:rsid w:val="00D32F3D"/>
    <w:rsid w:val="00D345CB"/>
    <w:rsid w:val="00D3734C"/>
    <w:rsid w:val="00D4092C"/>
    <w:rsid w:val="00D427B4"/>
    <w:rsid w:val="00D42A64"/>
    <w:rsid w:val="00D44E59"/>
    <w:rsid w:val="00D44FAA"/>
    <w:rsid w:val="00D50094"/>
    <w:rsid w:val="00D518A1"/>
    <w:rsid w:val="00D549B7"/>
    <w:rsid w:val="00D607F8"/>
    <w:rsid w:val="00D61B28"/>
    <w:rsid w:val="00D65DE0"/>
    <w:rsid w:val="00D70088"/>
    <w:rsid w:val="00D71053"/>
    <w:rsid w:val="00D71806"/>
    <w:rsid w:val="00D744DC"/>
    <w:rsid w:val="00D772D5"/>
    <w:rsid w:val="00D801C8"/>
    <w:rsid w:val="00D82BA6"/>
    <w:rsid w:val="00D9285B"/>
    <w:rsid w:val="00D928A3"/>
    <w:rsid w:val="00D93702"/>
    <w:rsid w:val="00D9424C"/>
    <w:rsid w:val="00D96E50"/>
    <w:rsid w:val="00D971BC"/>
    <w:rsid w:val="00DA3D19"/>
    <w:rsid w:val="00DA4634"/>
    <w:rsid w:val="00DB2134"/>
    <w:rsid w:val="00DB63F7"/>
    <w:rsid w:val="00DC084A"/>
    <w:rsid w:val="00DC348A"/>
    <w:rsid w:val="00DC3BDB"/>
    <w:rsid w:val="00DD09B3"/>
    <w:rsid w:val="00DD26F8"/>
    <w:rsid w:val="00DD3398"/>
    <w:rsid w:val="00DD378E"/>
    <w:rsid w:val="00DE15E5"/>
    <w:rsid w:val="00DE778F"/>
    <w:rsid w:val="00E00576"/>
    <w:rsid w:val="00E01612"/>
    <w:rsid w:val="00E20FF4"/>
    <w:rsid w:val="00E21C23"/>
    <w:rsid w:val="00E22BAF"/>
    <w:rsid w:val="00E2608B"/>
    <w:rsid w:val="00E30585"/>
    <w:rsid w:val="00E37BA5"/>
    <w:rsid w:val="00E37CB4"/>
    <w:rsid w:val="00E41C09"/>
    <w:rsid w:val="00E50EBC"/>
    <w:rsid w:val="00E51E94"/>
    <w:rsid w:val="00E528B4"/>
    <w:rsid w:val="00E56167"/>
    <w:rsid w:val="00E62E16"/>
    <w:rsid w:val="00E64E5D"/>
    <w:rsid w:val="00E67A10"/>
    <w:rsid w:val="00E73B1C"/>
    <w:rsid w:val="00E8083C"/>
    <w:rsid w:val="00E8269E"/>
    <w:rsid w:val="00E83A5D"/>
    <w:rsid w:val="00E83C79"/>
    <w:rsid w:val="00E83C99"/>
    <w:rsid w:val="00E85EDB"/>
    <w:rsid w:val="00E90189"/>
    <w:rsid w:val="00E917AA"/>
    <w:rsid w:val="00E91E18"/>
    <w:rsid w:val="00E9569D"/>
    <w:rsid w:val="00EA114D"/>
    <w:rsid w:val="00EA29D7"/>
    <w:rsid w:val="00EA53E8"/>
    <w:rsid w:val="00EA65E6"/>
    <w:rsid w:val="00EA690E"/>
    <w:rsid w:val="00EB3489"/>
    <w:rsid w:val="00EC66EA"/>
    <w:rsid w:val="00ED01F2"/>
    <w:rsid w:val="00ED4540"/>
    <w:rsid w:val="00ED702F"/>
    <w:rsid w:val="00EF28A5"/>
    <w:rsid w:val="00EF3E29"/>
    <w:rsid w:val="00EF4DD0"/>
    <w:rsid w:val="00F0004F"/>
    <w:rsid w:val="00F02477"/>
    <w:rsid w:val="00F12303"/>
    <w:rsid w:val="00F13DDC"/>
    <w:rsid w:val="00F15597"/>
    <w:rsid w:val="00F20535"/>
    <w:rsid w:val="00F206A8"/>
    <w:rsid w:val="00F20F52"/>
    <w:rsid w:val="00F21A8C"/>
    <w:rsid w:val="00F271A4"/>
    <w:rsid w:val="00F30F34"/>
    <w:rsid w:val="00F31C1F"/>
    <w:rsid w:val="00F32B9F"/>
    <w:rsid w:val="00F36E3C"/>
    <w:rsid w:val="00F37D3E"/>
    <w:rsid w:val="00F43907"/>
    <w:rsid w:val="00F44E45"/>
    <w:rsid w:val="00F4562D"/>
    <w:rsid w:val="00F5131E"/>
    <w:rsid w:val="00F602AF"/>
    <w:rsid w:val="00F61E70"/>
    <w:rsid w:val="00F63268"/>
    <w:rsid w:val="00F647C1"/>
    <w:rsid w:val="00F668F4"/>
    <w:rsid w:val="00F70658"/>
    <w:rsid w:val="00F804D5"/>
    <w:rsid w:val="00F8227C"/>
    <w:rsid w:val="00F857AD"/>
    <w:rsid w:val="00F85FD6"/>
    <w:rsid w:val="00F86ECF"/>
    <w:rsid w:val="00F86ED3"/>
    <w:rsid w:val="00F9036E"/>
    <w:rsid w:val="00F92A19"/>
    <w:rsid w:val="00F94D51"/>
    <w:rsid w:val="00FA0C8D"/>
    <w:rsid w:val="00FA232A"/>
    <w:rsid w:val="00FA4480"/>
    <w:rsid w:val="00FC3262"/>
    <w:rsid w:val="00FD1828"/>
    <w:rsid w:val="00FD1941"/>
    <w:rsid w:val="00FE685F"/>
    <w:rsid w:val="00FF078B"/>
    <w:rsid w:val="00FF1D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CA6BFB"/>
  <w15:docId w15:val="{970E59F5-600F-4A5D-837A-5412BAE9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3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E45"/>
    <w:pPr>
      <w:ind w:left="720"/>
      <w:contextualSpacing/>
    </w:pPr>
  </w:style>
  <w:style w:type="table" w:styleId="TableGrid">
    <w:name w:val="Table Grid"/>
    <w:basedOn w:val="TableNormal"/>
    <w:uiPriority w:val="99"/>
    <w:rsid w:val="00471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1D56"/>
    <w:rPr>
      <w:rFonts w:cs="Times New Roman"/>
      <w:sz w:val="16"/>
      <w:szCs w:val="16"/>
    </w:rPr>
  </w:style>
  <w:style w:type="paragraph" w:styleId="CommentText">
    <w:name w:val="annotation text"/>
    <w:basedOn w:val="Normal"/>
    <w:link w:val="CommentTextChar"/>
    <w:uiPriority w:val="99"/>
    <w:rsid w:val="005D1D56"/>
    <w:pPr>
      <w:spacing w:line="240" w:lineRule="auto"/>
    </w:pPr>
    <w:rPr>
      <w:sz w:val="20"/>
      <w:szCs w:val="20"/>
    </w:rPr>
  </w:style>
  <w:style w:type="character" w:customStyle="1" w:styleId="CommentTextChar">
    <w:name w:val="Comment Text Char"/>
    <w:basedOn w:val="DefaultParagraphFont"/>
    <w:link w:val="CommentText"/>
    <w:uiPriority w:val="99"/>
    <w:locked/>
    <w:rsid w:val="005D1D5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5D1D56"/>
    <w:rPr>
      <w:b/>
      <w:bCs/>
    </w:rPr>
  </w:style>
  <w:style w:type="character" w:customStyle="1" w:styleId="CommentSubjectChar">
    <w:name w:val="Comment Subject Char"/>
    <w:basedOn w:val="CommentTextChar"/>
    <w:link w:val="CommentSubject"/>
    <w:uiPriority w:val="99"/>
    <w:semiHidden/>
    <w:locked/>
    <w:rsid w:val="005D1D56"/>
    <w:rPr>
      <w:rFonts w:cs="Times New Roman"/>
      <w:b/>
      <w:bCs/>
      <w:sz w:val="20"/>
      <w:szCs w:val="20"/>
      <w:lang w:eastAsia="en-US"/>
    </w:rPr>
  </w:style>
  <w:style w:type="paragraph" w:styleId="BalloonText">
    <w:name w:val="Balloon Text"/>
    <w:basedOn w:val="Normal"/>
    <w:link w:val="BalloonTextChar"/>
    <w:uiPriority w:val="99"/>
    <w:semiHidden/>
    <w:rsid w:val="005D1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1D56"/>
    <w:rPr>
      <w:rFonts w:ascii="Tahoma" w:hAnsi="Tahoma" w:cs="Tahoma"/>
      <w:sz w:val="16"/>
      <w:szCs w:val="16"/>
      <w:lang w:eastAsia="en-US"/>
    </w:rPr>
  </w:style>
  <w:style w:type="paragraph" w:styleId="DocumentMap">
    <w:name w:val="Document Map"/>
    <w:basedOn w:val="Normal"/>
    <w:link w:val="DocumentMapChar"/>
    <w:uiPriority w:val="99"/>
    <w:semiHidden/>
    <w:rsid w:val="00A945F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1612"/>
    <w:rPr>
      <w:rFonts w:ascii="Times New Roman" w:hAnsi="Times New Roman" w:cs="Times New Roman"/>
      <w:sz w:val="2"/>
      <w:lang w:eastAsia="en-US"/>
    </w:rPr>
  </w:style>
  <w:style w:type="character" w:styleId="Hyperlink">
    <w:name w:val="Hyperlink"/>
    <w:basedOn w:val="DefaultParagraphFont"/>
    <w:uiPriority w:val="99"/>
    <w:unhideWhenUsed/>
    <w:rsid w:val="00E41C09"/>
    <w:rPr>
      <w:color w:val="0000FF" w:themeColor="hyperlink"/>
      <w:u w:val="single"/>
    </w:rPr>
  </w:style>
  <w:style w:type="paragraph" w:styleId="NormalWeb">
    <w:name w:val="Normal (Web)"/>
    <w:basedOn w:val="Normal"/>
    <w:uiPriority w:val="99"/>
    <w:unhideWhenUsed/>
    <w:rsid w:val="00E91E18"/>
    <w:pPr>
      <w:spacing w:before="100" w:beforeAutospacing="1" w:after="100" w:afterAutospacing="1" w:line="240" w:lineRule="auto"/>
    </w:pPr>
    <w:rPr>
      <w:rFonts w:ascii="Times New Roman" w:eastAsia="Times New Roman" w:hAnsi="Times New Roman"/>
      <w:sz w:val="24"/>
      <w:szCs w:val="24"/>
      <w:lang w:eastAsia="it-IT"/>
    </w:rPr>
  </w:style>
  <w:style w:type="paragraph" w:styleId="Header">
    <w:name w:val="header"/>
    <w:basedOn w:val="Normal"/>
    <w:link w:val="HeaderChar"/>
    <w:uiPriority w:val="99"/>
    <w:unhideWhenUsed/>
    <w:rsid w:val="00F271A4"/>
    <w:pPr>
      <w:tabs>
        <w:tab w:val="center" w:pos="4819"/>
        <w:tab w:val="right" w:pos="9638"/>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271A4"/>
    <w:rPr>
      <w:rFonts w:asciiTheme="minorHAnsi" w:eastAsiaTheme="minorHAnsi" w:hAnsiTheme="minorHAnsi" w:cstheme="minorBidi"/>
      <w:sz w:val="22"/>
      <w:szCs w:val="22"/>
      <w:lang w:eastAsia="en-US"/>
    </w:rPr>
  </w:style>
  <w:style w:type="paragraph" w:customStyle="1" w:styleId="Default">
    <w:name w:val="Default"/>
    <w:rsid w:val="00C70980"/>
    <w:pPr>
      <w:autoSpaceDE w:val="0"/>
      <w:autoSpaceDN w:val="0"/>
      <w:adjustRightInd w:val="0"/>
    </w:pPr>
    <w:rPr>
      <w:rFonts w:ascii="Tahoma" w:eastAsia="Times New Roman" w:hAnsi="Tahoma" w:cs="Tahoma"/>
      <w:color w:val="000000"/>
      <w:sz w:val="24"/>
      <w:szCs w:val="24"/>
      <w:lang w:eastAsia="en-US"/>
    </w:rPr>
  </w:style>
  <w:style w:type="paragraph" w:styleId="FootnoteText">
    <w:name w:val="footnote text"/>
    <w:basedOn w:val="Normal"/>
    <w:link w:val="FootnoteTextChar"/>
    <w:uiPriority w:val="99"/>
    <w:semiHidden/>
    <w:unhideWhenUsed/>
    <w:rsid w:val="001E56CC"/>
    <w:pPr>
      <w:spacing w:after="0" w:line="240" w:lineRule="auto"/>
    </w:pPr>
    <w:rPr>
      <w:rFonts w:asciiTheme="minorHAnsi" w:eastAsia="Times New Roman" w:hAnsiTheme="minorHAnsi" w:cstheme="minorBidi"/>
      <w:sz w:val="20"/>
      <w:szCs w:val="20"/>
    </w:rPr>
  </w:style>
  <w:style w:type="character" w:customStyle="1" w:styleId="FootnoteTextChar">
    <w:name w:val="Footnote Text Char"/>
    <w:basedOn w:val="DefaultParagraphFont"/>
    <w:link w:val="FootnoteText"/>
    <w:uiPriority w:val="99"/>
    <w:semiHidden/>
    <w:rsid w:val="001E56CC"/>
    <w:rPr>
      <w:rFonts w:asciiTheme="minorHAnsi" w:eastAsia="Times New Roman" w:hAnsiTheme="minorHAnsi" w:cstheme="minorBidi"/>
      <w:lang w:eastAsia="en-US"/>
    </w:rPr>
  </w:style>
  <w:style w:type="character" w:styleId="FootnoteReference">
    <w:name w:val="footnote reference"/>
    <w:basedOn w:val="DefaultParagraphFont"/>
    <w:uiPriority w:val="99"/>
    <w:semiHidden/>
    <w:unhideWhenUsed/>
    <w:rsid w:val="001E56CC"/>
    <w:rPr>
      <w:rFonts w:cs="Times New Roman"/>
      <w:vertAlign w:val="superscript"/>
    </w:rPr>
  </w:style>
  <w:style w:type="paragraph" w:styleId="Footer">
    <w:name w:val="footer"/>
    <w:basedOn w:val="Normal"/>
    <w:link w:val="FooterChar"/>
    <w:uiPriority w:val="99"/>
    <w:unhideWhenUsed/>
    <w:rsid w:val="009636AA"/>
    <w:pPr>
      <w:tabs>
        <w:tab w:val="center" w:pos="4819"/>
        <w:tab w:val="right" w:pos="9638"/>
      </w:tabs>
      <w:spacing w:after="0" w:line="240" w:lineRule="auto"/>
    </w:pPr>
  </w:style>
  <w:style w:type="character" w:customStyle="1" w:styleId="FooterChar">
    <w:name w:val="Footer Char"/>
    <w:basedOn w:val="DefaultParagraphFont"/>
    <w:link w:val="Footer"/>
    <w:uiPriority w:val="99"/>
    <w:rsid w:val="009636AA"/>
    <w:rPr>
      <w:sz w:val="22"/>
      <w:szCs w:val="22"/>
      <w:lang w:eastAsia="en-US"/>
    </w:rPr>
  </w:style>
  <w:style w:type="character" w:styleId="UnresolvedMention">
    <w:name w:val="Unresolved Mention"/>
    <w:basedOn w:val="DefaultParagraphFont"/>
    <w:uiPriority w:val="99"/>
    <w:semiHidden/>
    <w:unhideWhenUsed/>
    <w:rsid w:val="00B7769A"/>
    <w:rPr>
      <w:color w:val="605E5C"/>
      <w:shd w:val="clear" w:color="auto" w:fill="E1DFDD"/>
    </w:rPr>
  </w:style>
  <w:style w:type="character" w:customStyle="1" w:styleId="ui-provider">
    <w:name w:val="ui-provider"/>
    <w:basedOn w:val="DefaultParagraphFont"/>
    <w:rsid w:val="00515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9901">
      <w:bodyDiv w:val="1"/>
      <w:marLeft w:val="0"/>
      <w:marRight w:val="0"/>
      <w:marTop w:val="0"/>
      <w:marBottom w:val="0"/>
      <w:divBdr>
        <w:top w:val="none" w:sz="0" w:space="0" w:color="auto"/>
        <w:left w:val="none" w:sz="0" w:space="0" w:color="auto"/>
        <w:bottom w:val="none" w:sz="0" w:space="0" w:color="auto"/>
        <w:right w:val="none" w:sz="0" w:space="0" w:color="auto"/>
      </w:divBdr>
    </w:div>
    <w:div w:id="1312056586">
      <w:bodyDiv w:val="1"/>
      <w:marLeft w:val="0"/>
      <w:marRight w:val="0"/>
      <w:marTop w:val="0"/>
      <w:marBottom w:val="0"/>
      <w:divBdr>
        <w:top w:val="none" w:sz="0" w:space="0" w:color="auto"/>
        <w:left w:val="none" w:sz="0" w:space="0" w:color="auto"/>
        <w:bottom w:val="none" w:sz="0" w:space="0" w:color="auto"/>
        <w:right w:val="none" w:sz="0" w:space="0" w:color="auto"/>
      </w:divBdr>
    </w:div>
    <w:div w:id="16490920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p.scienze-chimiche@pec.unina.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p.scienze-chimiche@pec.unin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michela.corsaro@personalepec.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ip.scienze-chimiche@pec.unina.it" TargetMode="External"/><Relationship Id="rId1" Type="http://schemas.openxmlformats.org/officeDocument/2006/relationships/hyperlink" Target="mailto:dip.scienze-chimiche@unin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1CBF83A7E714CBA6E397C2794E951" ma:contentTypeVersion="14" ma:contentTypeDescription="Create a new document." ma:contentTypeScope="" ma:versionID="9aec185bbd0f34a39dd075bd1820cc9c">
  <xsd:schema xmlns:xsd="http://www.w3.org/2001/XMLSchema" xmlns:xs="http://www.w3.org/2001/XMLSchema" xmlns:p="http://schemas.microsoft.com/office/2006/metadata/properties" xmlns:ns2="f967c586-80aa-42d6-8dd9-600fd6cbfe95" xmlns:ns3="b5b003a3-5ea8-49d3-a7bd-66c5f85e44f8" targetNamespace="http://schemas.microsoft.com/office/2006/metadata/properties" ma:root="true" ma:fieldsID="0a1047abf78aa468db60f96bc914043d" ns2:_="" ns3:_="">
    <xsd:import namespace="f967c586-80aa-42d6-8dd9-600fd6cbfe95"/>
    <xsd:import namespace="b5b003a3-5ea8-49d3-a7bd-66c5f85e44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c586-80aa-42d6-8dd9-600fd6cbf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003a3-5ea8-49d3-a7bd-66c5f85e44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c2a387-87cb-4e36-8782-24e92a5a796f}" ma:internalName="TaxCatchAll" ma:showField="CatchAllData" ma:web="b5b003a3-5ea8-49d3-a7bd-66c5f85e44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b003a3-5ea8-49d3-a7bd-66c5f85e44f8" xsi:nil="true"/>
    <lcf76f155ced4ddcb4097134ff3c332f xmlns="f967c586-80aa-42d6-8dd9-600fd6cbfe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70BD8-B713-4106-88FF-8698A5AB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c586-80aa-42d6-8dd9-600fd6cbfe95"/>
    <ds:schemaRef ds:uri="b5b003a3-5ea8-49d3-a7bd-66c5f85e4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4B452-85E5-413F-A572-AB13EC54C816}">
  <ds:schemaRefs>
    <ds:schemaRef ds:uri="http://schemas.microsoft.com/office/2006/metadata/properties"/>
    <ds:schemaRef ds:uri="http://schemas.microsoft.com/office/infopath/2007/PartnerControls"/>
    <ds:schemaRef ds:uri="b5b003a3-5ea8-49d3-a7bd-66c5f85e44f8"/>
    <ds:schemaRef ds:uri="f967c586-80aa-42d6-8dd9-600fd6cbfe95"/>
  </ds:schemaRefs>
</ds:datastoreItem>
</file>

<file path=customXml/itemProps3.xml><?xml version="1.0" encoding="utf-8"?>
<ds:datastoreItem xmlns:ds="http://schemas.openxmlformats.org/officeDocument/2006/customXml" ds:itemID="{E23FEA99-656C-4C75-8201-0E6EC112C237}">
  <ds:schemaRefs>
    <ds:schemaRef ds:uri="http://schemas.openxmlformats.org/officeDocument/2006/bibliography"/>
  </ds:schemaRefs>
</ds:datastoreItem>
</file>

<file path=customXml/itemProps4.xml><?xml version="1.0" encoding="utf-8"?>
<ds:datastoreItem xmlns:ds="http://schemas.openxmlformats.org/officeDocument/2006/customXml" ds:itemID="{6204A34F-8B3E-4A75-99B2-134E50B5F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2240</Words>
  <Characters>12772</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DECRETO N</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Orlando</dc:creator>
  <cp:lastModifiedBy>MARTINA D'ALESSANDRO</cp:lastModifiedBy>
  <cp:revision>8</cp:revision>
  <cp:lastPrinted>2024-01-26T12:36:00Z</cp:lastPrinted>
  <dcterms:created xsi:type="dcterms:W3CDTF">2023-10-06T10:43:00Z</dcterms:created>
  <dcterms:modified xsi:type="dcterms:W3CDTF">2024-01-31T11:35:00Z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2023-07-18T08:51:42Z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78667805-95e7-4d14-a671-45b88c853be7</vt:lpwstr>
  </property>
  <property fmtid="{D5CDD505-2E9C-101B-9397-08002B2CF9AE}" pid="8" name="MSIP_Label_2ad0b24d-6422-44b0-b3de-abb3a9e8c81a_ContentBits">
    <vt:lpwstr>0</vt:lpwstr>
  </property>
  <property fmtid="{D5CDD505-2E9C-101B-9397-08002B2CF9AE}" pid="9" name="ContentTypeId">
    <vt:lpwstr>0x010100C5F1CBF83A7E714CBA6E397C2794E951</vt:lpwstr>
  </property>
  <property fmtid="{D5CDD505-2E9C-101B-9397-08002B2CF9AE}" pid="10" name="MediaServiceImageTags">
    <vt:lpwstr/>
  </property>
</Properties>
</file>