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26972" w14:textId="2AEF01BB" w:rsidR="004A6CE5" w:rsidRPr="004A6CE5" w:rsidRDefault="004A6CE5" w:rsidP="004A6CE5">
      <w:pPr>
        <w:jc w:val="right"/>
        <w:rPr>
          <w:rFonts w:ascii="Titillium Web SemiBold" w:eastAsia="Times New Roman" w:hAnsi="Titillium Web SemiBold" w:cstheme="minorHAnsi"/>
          <w:b/>
          <w:i/>
          <w:sz w:val="28"/>
          <w:szCs w:val="22"/>
        </w:rPr>
      </w:pPr>
      <w:r w:rsidRPr="004A6CE5">
        <w:rPr>
          <w:rFonts w:ascii="Times New Roman" w:eastAsia="Times New Roman" w:hAnsi="Times New Roman"/>
          <w:i/>
          <w:lang w:eastAsia="it-IT"/>
        </w:rPr>
        <w:t>Allegato</w:t>
      </w:r>
      <w:r w:rsidR="00C35781">
        <w:rPr>
          <w:rFonts w:ascii="Times New Roman" w:eastAsia="Times New Roman" w:hAnsi="Times New Roman"/>
          <w:i/>
          <w:lang w:eastAsia="it-IT"/>
        </w:rPr>
        <w:t xml:space="preserve"> D</w:t>
      </w:r>
      <w:r w:rsidR="0074198B">
        <w:rPr>
          <w:rFonts w:ascii="Times New Roman" w:eastAsia="Times New Roman" w:hAnsi="Times New Roman"/>
          <w:i/>
          <w:lang w:eastAsia="it-IT"/>
        </w:rPr>
        <w:t>.</w:t>
      </w:r>
      <w:r w:rsidRPr="004A6CE5">
        <w:rPr>
          <w:rFonts w:ascii="Times New Roman" w:eastAsia="Times New Roman" w:hAnsi="Times New Roman"/>
          <w:i/>
          <w:lang w:eastAsia="it-IT"/>
        </w:rPr>
        <w:t xml:space="preserve"> Dichiarazione DNSH</w:t>
      </w:r>
    </w:p>
    <w:p w14:paraId="29113B74" w14:textId="77777777" w:rsidR="004A6CE5" w:rsidRDefault="004A6CE5" w:rsidP="00CD6542">
      <w:pPr>
        <w:jc w:val="both"/>
        <w:rPr>
          <w:rFonts w:ascii="Titillium Web SemiBold" w:eastAsia="Times New Roman" w:hAnsi="Titillium Web SemiBold" w:cstheme="minorHAnsi"/>
          <w:b/>
          <w:sz w:val="28"/>
          <w:szCs w:val="22"/>
        </w:rPr>
      </w:pPr>
    </w:p>
    <w:p w14:paraId="34323809" w14:textId="77777777" w:rsidR="00DF7608" w:rsidRPr="004515CB" w:rsidRDefault="00DF7608" w:rsidP="00DF7608">
      <w:pPr>
        <w:pStyle w:val="Titolo1"/>
        <w:ind w:right="482"/>
        <w:rPr>
          <w:rFonts w:ascii="Titillium Web" w:hAnsi="Titillium Web"/>
        </w:rPr>
      </w:pPr>
      <w:r w:rsidRPr="004515CB">
        <w:rPr>
          <w:rFonts w:ascii="Titillium Web" w:hAnsi="Titillium Web"/>
        </w:rPr>
        <w:t>PIANO NAZIONALE DI RIPRESA E RESILIENZA (PNRR)</w:t>
      </w:r>
    </w:p>
    <w:p w14:paraId="059C8D6F" w14:textId="77777777" w:rsidR="00DF7608" w:rsidRPr="004515CB" w:rsidRDefault="00DF7608" w:rsidP="00DF7608">
      <w:pPr>
        <w:pStyle w:val="Titolo1"/>
        <w:ind w:right="482"/>
        <w:rPr>
          <w:rFonts w:ascii="Titillium Web" w:hAnsi="Titillium Web"/>
        </w:rPr>
      </w:pPr>
      <w:r w:rsidRPr="004515CB">
        <w:rPr>
          <w:rFonts w:ascii="Titillium Web" w:hAnsi="Titillium Web"/>
        </w:rPr>
        <w:t>Missione 4 – “Istruzione e Ricerca” - Componente: 2 “Dalla Ricerca all'Impresa”</w:t>
      </w:r>
    </w:p>
    <w:p w14:paraId="61EA9ED5" w14:textId="77777777" w:rsidR="00DF7608" w:rsidRPr="004515CB" w:rsidRDefault="00DF7608" w:rsidP="00DF7608">
      <w:pPr>
        <w:pStyle w:val="Titolo1"/>
        <w:ind w:right="482"/>
        <w:rPr>
          <w:rFonts w:ascii="Titillium Web" w:hAnsi="Titillium Web"/>
        </w:rPr>
      </w:pPr>
      <w:r w:rsidRPr="004515CB">
        <w:rPr>
          <w:rFonts w:ascii="Titillium Web" w:hAnsi="Titillium Web"/>
        </w:rPr>
        <w:t xml:space="preserve">Investimento: 1.4 Potenziamento strutture di ricerca e creazione di "campioni nazionali" di R&amp;S su alcune Key </w:t>
      </w:r>
      <w:proofErr w:type="spellStart"/>
      <w:r w:rsidRPr="004515CB">
        <w:rPr>
          <w:rFonts w:ascii="Titillium Web" w:hAnsi="Titillium Web"/>
        </w:rPr>
        <w:t>enabling</w:t>
      </w:r>
      <w:proofErr w:type="spellEnd"/>
      <w:r w:rsidRPr="004515CB">
        <w:rPr>
          <w:rFonts w:ascii="Titillium Web" w:hAnsi="Titillium Web"/>
        </w:rPr>
        <w:t xml:space="preserve"> </w:t>
      </w:r>
      <w:proofErr w:type="spellStart"/>
      <w:r w:rsidRPr="004515CB">
        <w:rPr>
          <w:rFonts w:ascii="Titillium Web" w:hAnsi="Titillium Web"/>
        </w:rPr>
        <w:t>technologies</w:t>
      </w:r>
      <w:proofErr w:type="spellEnd"/>
      <w:r w:rsidRPr="004515CB">
        <w:rPr>
          <w:rFonts w:ascii="Titillium Web" w:hAnsi="Titillium Web"/>
        </w:rPr>
        <w:t>”</w:t>
      </w:r>
    </w:p>
    <w:p w14:paraId="1D3B896F" w14:textId="77777777" w:rsidR="00DF7608" w:rsidRPr="004515CB" w:rsidRDefault="00DF7608" w:rsidP="00DF7608">
      <w:pPr>
        <w:pStyle w:val="Titolo1"/>
        <w:ind w:right="482"/>
        <w:rPr>
          <w:rFonts w:ascii="Titillium Web" w:hAnsi="Titillium Web"/>
        </w:rPr>
      </w:pPr>
      <w:r w:rsidRPr="004515CB">
        <w:rPr>
          <w:rFonts w:ascii="Titillium Web" w:hAnsi="Titillium Web"/>
        </w:rPr>
        <w:t xml:space="preserve">“National </w:t>
      </w:r>
      <w:proofErr w:type="spellStart"/>
      <w:r w:rsidRPr="004515CB">
        <w:rPr>
          <w:rFonts w:ascii="Titillium Web" w:hAnsi="Titillium Web"/>
        </w:rPr>
        <w:t>Biodiversity</w:t>
      </w:r>
      <w:proofErr w:type="spellEnd"/>
      <w:r w:rsidRPr="004515CB">
        <w:rPr>
          <w:rFonts w:ascii="Titillium Web" w:hAnsi="Titillium Web"/>
        </w:rPr>
        <w:t xml:space="preserve"> Future Center” </w:t>
      </w:r>
    </w:p>
    <w:p w14:paraId="10143900" w14:textId="77777777" w:rsidR="00DF7608" w:rsidRPr="004515CB" w:rsidRDefault="00DF7608" w:rsidP="00DF7608">
      <w:pPr>
        <w:pStyle w:val="Titolo1"/>
        <w:ind w:right="482"/>
        <w:rPr>
          <w:rFonts w:ascii="Titillium Web" w:hAnsi="Titillium Web"/>
        </w:rPr>
      </w:pPr>
      <w:r w:rsidRPr="004515CB">
        <w:rPr>
          <w:rFonts w:ascii="Titillium Web" w:hAnsi="Titillium Web"/>
        </w:rPr>
        <w:t>Mapping and monitoring actions to preserve marine ecosystem biodiversity functioning – SPOKE 1</w:t>
      </w:r>
    </w:p>
    <w:p w14:paraId="72DB7386" w14:textId="77777777" w:rsidR="00DF7608" w:rsidRPr="004515CB" w:rsidRDefault="00DF7608" w:rsidP="00DF7608">
      <w:pPr>
        <w:pStyle w:val="Titolo1"/>
        <w:ind w:right="482"/>
        <w:rPr>
          <w:rFonts w:ascii="Titillium Web" w:hAnsi="Titillium Web"/>
        </w:rPr>
      </w:pPr>
      <w:r w:rsidRPr="004515CB">
        <w:rPr>
          <w:rFonts w:ascii="Titillium Web" w:hAnsi="Titillium Web"/>
        </w:rPr>
        <w:t xml:space="preserve">Codice progetto MUR: CN0000033 CUP UNINA: E63C22000990007 </w:t>
      </w:r>
    </w:p>
    <w:p w14:paraId="791D3BD3" w14:textId="01145F86" w:rsidR="00DF7608" w:rsidRPr="004515CB" w:rsidRDefault="00DF7608" w:rsidP="00DF7608">
      <w:pPr>
        <w:pStyle w:val="Titolo1"/>
        <w:ind w:right="482"/>
        <w:rPr>
          <w:rFonts w:ascii="Titillium Web" w:hAnsi="Titillium Web"/>
        </w:rPr>
      </w:pPr>
      <w:proofErr w:type="spellStart"/>
      <w:r w:rsidRPr="004515CB">
        <w:rPr>
          <w:rFonts w:ascii="Titillium Web" w:hAnsi="Titillium Web"/>
        </w:rPr>
        <w:t>Ce.S.M.A</w:t>
      </w:r>
      <w:proofErr w:type="spellEnd"/>
      <w:r w:rsidRPr="004515CB">
        <w:rPr>
          <w:rFonts w:ascii="Titillium Web" w:hAnsi="Titillium Web"/>
        </w:rPr>
        <w:t>.</w:t>
      </w:r>
      <w:r w:rsidR="004515CB" w:rsidRPr="004515CB">
        <w:rPr>
          <w:rFonts w:ascii="Titillium Web" w:hAnsi="Titillium Web"/>
        </w:rPr>
        <w:t xml:space="preserve"> - </w:t>
      </w:r>
      <w:r w:rsidRPr="004515CB">
        <w:rPr>
          <w:rFonts w:ascii="Titillium Web" w:hAnsi="Titillium Web"/>
        </w:rPr>
        <w:t>Università degli Studi di Napoli Federico II</w:t>
      </w:r>
    </w:p>
    <w:p w14:paraId="1690DD6F" w14:textId="77777777" w:rsidR="004515CB" w:rsidRPr="004515CB" w:rsidRDefault="004515CB" w:rsidP="00DF7608">
      <w:pPr>
        <w:pStyle w:val="Titolo1"/>
        <w:ind w:right="482"/>
        <w:rPr>
          <w:rFonts w:ascii="Titillium Web" w:hAnsi="Titillium Web"/>
        </w:rPr>
      </w:pPr>
    </w:p>
    <w:p w14:paraId="48B2FAD3" w14:textId="05A142EB" w:rsidR="00DF7608" w:rsidRPr="004515CB" w:rsidRDefault="00DF7608" w:rsidP="00DF7608">
      <w:pPr>
        <w:pStyle w:val="Titolo1"/>
        <w:ind w:right="482"/>
        <w:rPr>
          <w:rFonts w:ascii="Titillium Web" w:hAnsi="Titillium Web"/>
        </w:rPr>
      </w:pPr>
      <w:r w:rsidRPr="004515CB">
        <w:rPr>
          <w:rFonts w:ascii="Titillium Web" w:hAnsi="Titillium Web"/>
        </w:rPr>
        <w:t>AVVISO DI INDAGINE DI MERCATO</w:t>
      </w:r>
    </w:p>
    <w:p w14:paraId="5431F2C9" w14:textId="77777777" w:rsidR="00DF7608" w:rsidRPr="004515CB" w:rsidRDefault="00DF7608" w:rsidP="00DF7608">
      <w:pPr>
        <w:pStyle w:val="Titolo1"/>
        <w:ind w:right="482"/>
        <w:rPr>
          <w:rFonts w:ascii="Titillium Web" w:hAnsi="Titillium Web"/>
        </w:rPr>
      </w:pPr>
      <w:r w:rsidRPr="004515CB">
        <w:rPr>
          <w:rFonts w:ascii="Titillium Web" w:hAnsi="Titillium Web"/>
        </w:rPr>
        <w:t xml:space="preserve">Riferimento: PNRR/ </w:t>
      </w:r>
      <w:proofErr w:type="spellStart"/>
      <w:r w:rsidRPr="004515CB">
        <w:rPr>
          <w:rFonts w:ascii="Titillium Web" w:hAnsi="Titillium Web"/>
        </w:rPr>
        <w:t>Ce.S.M.A</w:t>
      </w:r>
      <w:proofErr w:type="spellEnd"/>
      <w:r w:rsidRPr="004515CB">
        <w:rPr>
          <w:rFonts w:ascii="Titillium Web" w:hAnsi="Titillium Web"/>
        </w:rPr>
        <w:t>./AVVISO ESPLORATIVO/01/2024</w:t>
      </w:r>
    </w:p>
    <w:p w14:paraId="3241D49E" w14:textId="77777777" w:rsidR="004A6CE5" w:rsidRPr="004515CB" w:rsidRDefault="004A6CE5" w:rsidP="00CD6542">
      <w:pPr>
        <w:jc w:val="both"/>
        <w:rPr>
          <w:rFonts w:ascii="Titillium Web" w:eastAsia="Calibri" w:hAnsi="Titillium Web" w:cs="Times New Roman"/>
          <w:sz w:val="22"/>
          <w:szCs w:val="22"/>
        </w:rPr>
      </w:pPr>
    </w:p>
    <w:p w14:paraId="6F0AAC35" w14:textId="77777777" w:rsidR="007A5B73"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
          <w:sz w:val="22"/>
          <w:szCs w:val="22"/>
          <w:lang w:eastAsia="it-IT"/>
        </w:rPr>
      </w:pPr>
      <w:r w:rsidRPr="004515CB">
        <w:rPr>
          <w:rFonts w:ascii="Titillium Web" w:eastAsia="Times New Roman" w:hAnsi="Titillium Web" w:cs="Times New Roman"/>
          <w:b/>
          <w:sz w:val="22"/>
          <w:szCs w:val="22"/>
          <w:lang w:eastAsia="it-IT"/>
        </w:rPr>
        <w:t xml:space="preserve">AFFIDAMENTO DIRETTO, AI SENSI </w:t>
      </w:r>
      <w:r w:rsidR="006E7D38" w:rsidRPr="004515CB">
        <w:rPr>
          <w:rFonts w:ascii="Titillium Web" w:eastAsia="Times New Roman" w:hAnsi="Titillium Web" w:cs="Times New Roman"/>
          <w:b/>
          <w:sz w:val="22"/>
          <w:szCs w:val="22"/>
          <w:lang w:eastAsia="it-IT"/>
        </w:rPr>
        <w:t xml:space="preserve">L’ART. 50 DEL D.LGS. </w:t>
      </w:r>
      <w:r w:rsidR="00530094" w:rsidRPr="004515CB">
        <w:rPr>
          <w:rFonts w:ascii="Titillium Web" w:eastAsia="Times New Roman" w:hAnsi="Titillium Web" w:cs="Times New Roman"/>
          <w:b/>
          <w:sz w:val="22"/>
          <w:szCs w:val="22"/>
          <w:lang w:eastAsia="it-IT"/>
        </w:rPr>
        <w:t xml:space="preserve">36/2023 </w:t>
      </w:r>
      <w:r w:rsidRPr="004515CB">
        <w:rPr>
          <w:rFonts w:ascii="Titillium Web" w:eastAsia="Times New Roman" w:hAnsi="Titillium Web" w:cs="Times New Roman"/>
          <w:b/>
          <w:sz w:val="22"/>
          <w:szCs w:val="22"/>
          <w:lang w:eastAsia="it-IT"/>
        </w:rPr>
        <w:t>DELLA FORNITURA DI</w:t>
      </w:r>
    </w:p>
    <w:p w14:paraId="67DC8885" w14:textId="077D71CE"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
          <w:sz w:val="22"/>
          <w:szCs w:val="22"/>
          <w:lang w:eastAsia="it-IT"/>
        </w:rPr>
      </w:pPr>
      <w:r w:rsidRPr="004515CB">
        <w:rPr>
          <w:rFonts w:ascii="Titillium Web" w:eastAsia="Times New Roman" w:hAnsi="Titillium Web" w:cs="Times New Roman"/>
          <w:b/>
          <w:sz w:val="22"/>
          <w:szCs w:val="22"/>
          <w:lang w:eastAsia="it-IT"/>
        </w:rPr>
        <w:t xml:space="preserve"> </w:t>
      </w:r>
      <w:r w:rsidR="00831135" w:rsidRPr="004515CB">
        <w:rPr>
          <w:rFonts w:ascii="Titillium Web" w:eastAsia="Times New Roman" w:hAnsi="Titillium Web" w:cs="Times New Roman"/>
          <w:b/>
          <w:sz w:val="22"/>
          <w:szCs w:val="22"/>
          <w:lang w:eastAsia="it-IT"/>
        </w:rPr>
        <w:t>n.__</w:t>
      </w:r>
      <w:r w:rsidRPr="004515CB">
        <w:rPr>
          <w:rFonts w:ascii="Titillium Web" w:eastAsia="Times New Roman" w:hAnsi="Titillium Web" w:cs="Times New Roman"/>
          <w:b/>
          <w:sz w:val="22"/>
          <w:szCs w:val="22"/>
          <w:lang w:eastAsia="it-IT"/>
        </w:rPr>
        <w:t xml:space="preserve"> “</w:t>
      </w:r>
      <w:r w:rsidR="00831135" w:rsidRPr="004515CB">
        <w:rPr>
          <w:rFonts w:ascii="Titillium Web" w:eastAsia="Times New Roman" w:hAnsi="Titillium Web" w:cs="Times New Roman"/>
          <w:b/>
          <w:i/>
          <w:iCs/>
          <w:sz w:val="22"/>
          <w:szCs w:val="22"/>
          <w:lang w:eastAsia="it-IT" w:bidi="it-IT"/>
        </w:rPr>
        <w:t>___________________________________________</w:t>
      </w:r>
      <w:r w:rsidRPr="004515CB">
        <w:rPr>
          <w:rFonts w:ascii="Titillium Web" w:eastAsia="Times New Roman" w:hAnsi="Titillium Web" w:cs="Times New Roman"/>
          <w:b/>
          <w:i/>
          <w:iCs/>
          <w:sz w:val="22"/>
          <w:szCs w:val="22"/>
          <w:lang w:eastAsia="it-IT"/>
        </w:rPr>
        <w:t>”</w:t>
      </w:r>
      <w:r w:rsidRPr="004515CB">
        <w:rPr>
          <w:rFonts w:ascii="Titillium Web" w:eastAsia="Times New Roman" w:hAnsi="Titillium Web" w:cs="Times New Roman"/>
          <w:b/>
          <w:sz w:val="22"/>
          <w:szCs w:val="22"/>
          <w:lang w:eastAsia="it-IT"/>
        </w:rPr>
        <w:t xml:space="preserve">, PER LE ESIGENZE DEL </w:t>
      </w:r>
      <w:proofErr w:type="spellStart"/>
      <w:r w:rsidR="007A5B73" w:rsidRPr="004515CB">
        <w:rPr>
          <w:rFonts w:ascii="Titillium Web" w:eastAsia="Times New Roman" w:hAnsi="Titillium Web" w:cs="Times New Roman"/>
          <w:b/>
          <w:sz w:val="22"/>
          <w:szCs w:val="22"/>
          <w:lang w:eastAsia="it-IT"/>
        </w:rPr>
        <w:t>Ce.S.M.A</w:t>
      </w:r>
      <w:proofErr w:type="spellEnd"/>
      <w:r w:rsidR="007A5B73" w:rsidRPr="004515CB">
        <w:rPr>
          <w:rFonts w:ascii="Titillium Web" w:eastAsia="Times New Roman" w:hAnsi="Titillium Web" w:cs="Times New Roman"/>
          <w:b/>
          <w:sz w:val="22"/>
          <w:szCs w:val="22"/>
          <w:lang w:eastAsia="it-IT"/>
        </w:rPr>
        <w:t>.</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98"/>
      </w:tblGrid>
      <w:tr w:rsidR="004A6CE5" w:rsidRPr="004515CB" w14:paraId="3E6433D8" w14:textId="77777777" w:rsidTr="00442A17">
        <w:trPr>
          <w:jc w:val="center"/>
        </w:trPr>
        <w:tc>
          <w:tcPr>
            <w:tcW w:w="3539" w:type="dxa"/>
            <w:gridSpan w:val="2"/>
            <w:shd w:val="clear" w:color="auto" w:fill="auto"/>
          </w:tcPr>
          <w:p w14:paraId="5AC961B5"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Cs/>
                <w:i/>
                <w:iCs/>
                <w:sz w:val="22"/>
                <w:szCs w:val="22"/>
                <w:lang w:eastAsia="it-IT"/>
              </w:rPr>
            </w:pPr>
            <w:r w:rsidRPr="004515CB">
              <w:rPr>
                <w:rFonts w:ascii="Titillium Web" w:eastAsia="Times New Roman" w:hAnsi="Titillium Web" w:cs="Times New Roman"/>
                <w:bCs/>
                <w:sz w:val="22"/>
                <w:szCs w:val="22"/>
                <w:lang w:eastAsia="it-IT"/>
              </w:rPr>
              <w:t>Il sottoscritto</w:t>
            </w:r>
          </w:p>
        </w:tc>
        <w:tc>
          <w:tcPr>
            <w:tcW w:w="6398" w:type="dxa"/>
            <w:shd w:val="clear" w:color="auto" w:fill="auto"/>
          </w:tcPr>
          <w:p w14:paraId="7AB64AE5"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Cs/>
                <w:i/>
                <w:iCs/>
                <w:sz w:val="22"/>
                <w:szCs w:val="22"/>
                <w:lang w:eastAsia="it-IT"/>
              </w:rPr>
            </w:pPr>
          </w:p>
        </w:tc>
      </w:tr>
      <w:tr w:rsidR="004A6CE5" w:rsidRPr="004515CB" w14:paraId="70986FAD" w14:textId="77777777" w:rsidTr="00442A17">
        <w:trPr>
          <w:jc w:val="center"/>
        </w:trPr>
        <w:tc>
          <w:tcPr>
            <w:tcW w:w="3539" w:type="dxa"/>
            <w:gridSpan w:val="2"/>
            <w:shd w:val="clear" w:color="auto" w:fill="auto"/>
          </w:tcPr>
          <w:p w14:paraId="2525BAAA"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Cs/>
                <w:i/>
                <w:iCs/>
                <w:sz w:val="22"/>
                <w:szCs w:val="22"/>
                <w:lang w:eastAsia="it-IT"/>
              </w:rPr>
            </w:pPr>
            <w:r w:rsidRPr="004515CB">
              <w:rPr>
                <w:rFonts w:ascii="Titillium Web" w:eastAsia="Times New Roman" w:hAnsi="Titillium Web" w:cs="Times New Roman"/>
                <w:bCs/>
                <w:sz w:val="22"/>
                <w:szCs w:val="22"/>
                <w:lang w:eastAsia="it-IT"/>
              </w:rPr>
              <w:t>Codice fiscale</w:t>
            </w:r>
          </w:p>
        </w:tc>
        <w:tc>
          <w:tcPr>
            <w:tcW w:w="6398" w:type="dxa"/>
            <w:shd w:val="clear" w:color="auto" w:fill="auto"/>
          </w:tcPr>
          <w:p w14:paraId="3376D364"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Cs/>
                <w:i/>
                <w:iCs/>
                <w:sz w:val="22"/>
                <w:szCs w:val="22"/>
                <w:lang w:eastAsia="it-IT"/>
              </w:rPr>
            </w:pPr>
          </w:p>
        </w:tc>
      </w:tr>
      <w:tr w:rsidR="004A6CE5" w:rsidRPr="004515CB" w14:paraId="028A1E78" w14:textId="77777777" w:rsidTr="00442A17">
        <w:trPr>
          <w:jc w:val="center"/>
        </w:trPr>
        <w:tc>
          <w:tcPr>
            <w:tcW w:w="9937" w:type="dxa"/>
            <w:gridSpan w:val="3"/>
            <w:shd w:val="clear" w:color="auto" w:fill="auto"/>
          </w:tcPr>
          <w:p w14:paraId="23014393"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Cs/>
                <w:i/>
                <w:iCs/>
                <w:sz w:val="22"/>
                <w:szCs w:val="22"/>
                <w:lang w:eastAsia="it-IT"/>
              </w:rPr>
            </w:pPr>
            <w:r w:rsidRPr="004515CB">
              <w:rPr>
                <w:rFonts w:ascii="Titillium Web" w:eastAsia="Times New Roman" w:hAnsi="Titillium Web" w:cs="Times New Roman"/>
                <w:bCs/>
                <w:sz w:val="22"/>
                <w:szCs w:val="22"/>
                <w:lang w:eastAsia="it-IT"/>
              </w:rPr>
              <w:t>Nella sua qualità di:</w:t>
            </w:r>
          </w:p>
        </w:tc>
      </w:tr>
      <w:tr w:rsidR="004A6CE5" w:rsidRPr="004515CB" w14:paraId="335F160E" w14:textId="77777777" w:rsidTr="00442A17">
        <w:trPr>
          <w:jc w:val="center"/>
        </w:trPr>
        <w:tc>
          <w:tcPr>
            <w:tcW w:w="562" w:type="dxa"/>
            <w:shd w:val="clear" w:color="auto" w:fill="auto"/>
          </w:tcPr>
          <w:p w14:paraId="07BFA0B0"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Cs/>
                <w:iCs/>
                <w:sz w:val="22"/>
                <w:szCs w:val="22"/>
                <w:lang w:eastAsia="it-IT"/>
              </w:rPr>
            </w:pPr>
            <w:r w:rsidRPr="004515CB">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5D84312B"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Cs/>
                <w:iCs/>
                <w:sz w:val="22"/>
                <w:szCs w:val="22"/>
                <w:lang w:eastAsia="it-IT"/>
              </w:rPr>
            </w:pPr>
            <w:r w:rsidRPr="004515CB">
              <w:rPr>
                <w:rFonts w:ascii="Titillium Web" w:eastAsia="Times New Roman" w:hAnsi="Titillium Web" w:cs="Times New Roman"/>
                <w:bCs/>
                <w:sz w:val="22"/>
                <w:szCs w:val="22"/>
                <w:lang w:eastAsia="it-IT"/>
              </w:rPr>
              <w:t>Titolare o Legale rappresentante</w:t>
            </w:r>
          </w:p>
        </w:tc>
      </w:tr>
      <w:tr w:rsidR="004A6CE5" w:rsidRPr="004515CB" w14:paraId="7018EDAE" w14:textId="77777777" w:rsidTr="00442A17">
        <w:trPr>
          <w:jc w:val="center"/>
        </w:trPr>
        <w:tc>
          <w:tcPr>
            <w:tcW w:w="562" w:type="dxa"/>
            <w:shd w:val="clear" w:color="auto" w:fill="auto"/>
          </w:tcPr>
          <w:p w14:paraId="61DDE0AA"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Cs/>
                <w:iCs/>
                <w:sz w:val="22"/>
                <w:szCs w:val="22"/>
                <w:lang w:eastAsia="it-IT"/>
              </w:rPr>
            </w:pPr>
            <w:r w:rsidRPr="004515CB">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1800C1D6"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Cs/>
                <w:iCs/>
                <w:sz w:val="22"/>
                <w:szCs w:val="22"/>
                <w:lang w:eastAsia="it-IT"/>
              </w:rPr>
            </w:pPr>
            <w:r w:rsidRPr="004515CB">
              <w:rPr>
                <w:rFonts w:ascii="Titillium Web" w:eastAsia="Times New Roman" w:hAnsi="Titillium Web" w:cs="Times New Roman"/>
                <w:bCs/>
                <w:sz w:val="22"/>
                <w:szCs w:val="22"/>
                <w:lang w:eastAsia="it-IT"/>
              </w:rPr>
              <w:t>Procuratore</w:t>
            </w:r>
          </w:p>
        </w:tc>
      </w:tr>
      <w:tr w:rsidR="004A6CE5" w:rsidRPr="004515CB" w14:paraId="042C3598" w14:textId="77777777" w:rsidTr="00442A17">
        <w:trPr>
          <w:jc w:val="center"/>
        </w:trPr>
        <w:tc>
          <w:tcPr>
            <w:tcW w:w="3539" w:type="dxa"/>
            <w:gridSpan w:val="2"/>
            <w:shd w:val="clear" w:color="auto" w:fill="auto"/>
          </w:tcPr>
          <w:p w14:paraId="07631C3C"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Cs/>
                <w:i/>
                <w:iCs/>
                <w:sz w:val="22"/>
                <w:szCs w:val="22"/>
                <w:lang w:eastAsia="it-IT"/>
              </w:rPr>
            </w:pPr>
            <w:r w:rsidRPr="004515CB">
              <w:rPr>
                <w:rFonts w:ascii="Titillium Web" w:eastAsia="Times New Roman" w:hAnsi="Titillium Web" w:cs="Times New Roman"/>
                <w:bCs/>
                <w:sz w:val="22"/>
                <w:szCs w:val="22"/>
                <w:lang w:eastAsia="it-IT"/>
              </w:rPr>
              <w:t>Dell’operatore economico</w:t>
            </w:r>
          </w:p>
        </w:tc>
        <w:tc>
          <w:tcPr>
            <w:tcW w:w="6398" w:type="dxa"/>
            <w:shd w:val="clear" w:color="auto" w:fill="auto"/>
          </w:tcPr>
          <w:p w14:paraId="003ECC31"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Cs/>
                <w:i/>
                <w:iCs/>
                <w:sz w:val="22"/>
                <w:szCs w:val="22"/>
                <w:lang w:eastAsia="it-IT"/>
              </w:rPr>
            </w:pPr>
          </w:p>
        </w:tc>
      </w:tr>
    </w:tbl>
    <w:p w14:paraId="3411F6AF" w14:textId="2F10A7C4"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
          <w:sz w:val="22"/>
          <w:szCs w:val="22"/>
          <w:lang w:eastAsia="it-IT"/>
        </w:rPr>
      </w:pPr>
    </w:p>
    <w:p w14:paraId="4080C378" w14:textId="77777777" w:rsidR="004A6CE5" w:rsidRPr="004515CB" w:rsidRDefault="004A6CE5" w:rsidP="004A6CE5">
      <w:pPr>
        <w:overflowPunct w:val="0"/>
        <w:autoSpaceDE w:val="0"/>
        <w:autoSpaceDN w:val="0"/>
        <w:adjustRightInd w:val="0"/>
        <w:spacing w:after="120"/>
        <w:jc w:val="center"/>
        <w:textAlignment w:val="baseline"/>
        <w:rPr>
          <w:rFonts w:ascii="Titillium Web" w:eastAsia="Times New Roman" w:hAnsi="Titillium Web" w:cs="Times New Roman"/>
          <w:b/>
          <w:lang w:eastAsia="it-IT"/>
        </w:rPr>
      </w:pPr>
      <w:r w:rsidRPr="004515CB">
        <w:rPr>
          <w:rFonts w:ascii="Titillium Web" w:eastAsia="Times New Roman" w:hAnsi="Titillium Web" w:cs="Times New Roman"/>
          <w:b/>
          <w:lang w:eastAsia="it-IT"/>
        </w:rPr>
        <w:t>VISTO</w:t>
      </w:r>
    </w:p>
    <w:p w14:paraId="26D7A41E" w14:textId="4C1322D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lang w:eastAsia="it-IT"/>
        </w:rPr>
      </w:pPr>
      <w:r w:rsidRPr="004515CB">
        <w:rPr>
          <w:rFonts w:ascii="Titillium Web" w:eastAsia="Times New Roman" w:hAnsi="Titillium Web" w:cs="Times New Roman"/>
          <w:b/>
          <w:lang w:eastAsia="it-IT"/>
        </w:rPr>
        <w:t xml:space="preserve">l’Avviso esplorativo di cui all’oggetto, pubblicato sul sito dell’Università degli Studi di Napoli Federico II al la pagina: www.unina.it- sezione “Bandi di gara” e sull’Albo Pretorio </w:t>
      </w:r>
      <w:r w:rsidRPr="004515CB">
        <w:rPr>
          <w:rFonts w:ascii="Titillium Web" w:eastAsia="Times New Roman" w:hAnsi="Titillium Web" w:cs="Times New Roman"/>
          <w:b/>
          <w:i/>
          <w:lang w:eastAsia="it-IT"/>
        </w:rPr>
        <w:t xml:space="preserve">on line </w:t>
      </w:r>
      <w:r w:rsidRPr="004515CB">
        <w:rPr>
          <w:rFonts w:ascii="Titillium Web" w:eastAsia="Times New Roman" w:hAnsi="Titillium Web" w:cs="Times New Roman"/>
          <w:b/>
          <w:lang w:eastAsia="it-IT"/>
        </w:rPr>
        <w:t>e in relazione alla Manifestazione di interesse presentata,</w:t>
      </w:r>
      <w:r w:rsidRPr="004515CB">
        <w:rPr>
          <w:rFonts w:ascii="Titillium Web" w:eastAsia="Times New Roman" w:hAnsi="Titillium Web" w:cs="Times New Roman"/>
          <w:lang w:eastAsia="it-IT"/>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152C7563" w14:textId="2724CBAE" w:rsidR="004A6CE5" w:rsidRPr="004515CB" w:rsidRDefault="004A6CE5" w:rsidP="004A6CE5">
      <w:pPr>
        <w:overflowPunct w:val="0"/>
        <w:autoSpaceDE w:val="0"/>
        <w:autoSpaceDN w:val="0"/>
        <w:adjustRightInd w:val="0"/>
        <w:spacing w:after="120"/>
        <w:jc w:val="center"/>
        <w:textAlignment w:val="baseline"/>
        <w:rPr>
          <w:rFonts w:ascii="Titillium Web" w:eastAsia="Times New Roman" w:hAnsi="Titillium Web"/>
          <w:b/>
          <w:bCs/>
          <w:lang w:eastAsia="it-IT"/>
        </w:rPr>
      </w:pPr>
      <w:r w:rsidRPr="004515CB">
        <w:rPr>
          <w:rFonts w:ascii="Titillium Web" w:eastAsia="Times New Roman" w:hAnsi="Titillium Web"/>
          <w:b/>
          <w:bCs/>
          <w:lang w:eastAsia="it-IT"/>
        </w:rPr>
        <w:t>DICHIARA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A6CE5" w:rsidRPr="004515CB" w14:paraId="5787DD17" w14:textId="77777777" w:rsidTr="00442A17">
        <w:tc>
          <w:tcPr>
            <w:tcW w:w="9778" w:type="dxa"/>
            <w:tcBorders>
              <w:bottom w:val="single" w:sz="4" w:space="0" w:color="auto"/>
            </w:tcBorders>
            <w:shd w:val="clear" w:color="auto" w:fill="auto"/>
          </w:tcPr>
          <w:p w14:paraId="2EC85C40"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
                <w:sz w:val="22"/>
                <w:szCs w:val="22"/>
                <w:lang w:eastAsia="it-IT"/>
              </w:rPr>
            </w:pPr>
            <w:r w:rsidRPr="004515CB">
              <w:rPr>
                <w:rFonts w:ascii="Titillium Web" w:eastAsia="Times New Roman" w:hAnsi="Titillium Web" w:cs="Times New Roman"/>
                <w:b/>
                <w:sz w:val="22"/>
                <w:szCs w:val="22"/>
                <w:lang w:eastAsia="it-IT"/>
              </w:rPr>
              <w:lastRenderedPageBreak/>
              <w:t>Scheda - Acquisto di apparecchiature elettriche ed elettroniche</w:t>
            </w:r>
          </w:p>
        </w:tc>
      </w:tr>
    </w:tbl>
    <w:p w14:paraId="7AD7A99C" w14:textId="5870AC01" w:rsidR="004A6CE5" w:rsidRPr="004515CB" w:rsidRDefault="004A6CE5" w:rsidP="004A6CE5">
      <w:pPr>
        <w:overflowPunct w:val="0"/>
        <w:autoSpaceDE w:val="0"/>
        <w:autoSpaceDN w:val="0"/>
        <w:adjustRightInd w:val="0"/>
        <w:spacing w:after="120"/>
        <w:textAlignment w:val="baseline"/>
        <w:rPr>
          <w:rFonts w:ascii="Titillium Web" w:eastAsia="Times New Roman" w:hAnsi="Titillium Web"/>
          <w:i/>
          <w:lang w:eastAsia="it-IT"/>
        </w:rPr>
      </w:pPr>
      <w:r w:rsidRPr="004515CB">
        <w:rPr>
          <w:rFonts w:ascii="Titillium Web" w:eastAsia="Times New Roman" w:hAnsi="Titillium Web"/>
          <w:i/>
          <w:lang w:eastAsia="it-IT"/>
        </w:rPr>
        <w:t>Verifiche e controlli da condurre per garantire il principio DNSH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65"/>
        <w:gridCol w:w="4746"/>
        <w:gridCol w:w="1825"/>
        <w:gridCol w:w="1484"/>
      </w:tblGrid>
      <w:tr w:rsidR="004A6CE5" w:rsidRPr="004515CB" w14:paraId="0F721621" w14:textId="77777777" w:rsidTr="00442A17">
        <w:tc>
          <w:tcPr>
            <w:tcW w:w="1063" w:type="dxa"/>
            <w:shd w:val="clear" w:color="auto" w:fill="auto"/>
            <w:vAlign w:val="center"/>
          </w:tcPr>
          <w:p w14:paraId="26D92EEC"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
                <w:sz w:val="22"/>
                <w:szCs w:val="22"/>
                <w:lang w:eastAsia="it-IT"/>
              </w:rPr>
            </w:pPr>
            <w:r w:rsidRPr="004515CB">
              <w:rPr>
                <w:rFonts w:ascii="Titillium Web" w:eastAsia="Times New Roman" w:hAnsi="Titillium Web" w:cs="Times New Roman"/>
                <w:b/>
                <w:sz w:val="22"/>
                <w:szCs w:val="22"/>
                <w:lang w:eastAsia="it-IT"/>
              </w:rPr>
              <w:t>Tempo di svolgimento delle verifiche</w:t>
            </w:r>
          </w:p>
        </w:tc>
        <w:tc>
          <w:tcPr>
            <w:tcW w:w="567" w:type="dxa"/>
            <w:shd w:val="clear" w:color="auto" w:fill="auto"/>
            <w:vAlign w:val="center"/>
          </w:tcPr>
          <w:p w14:paraId="74E9E81A"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
                <w:sz w:val="22"/>
                <w:szCs w:val="22"/>
                <w:lang w:eastAsia="it-IT"/>
              </w:rPr>
            </w:pPr>
            <w:r w:rsidRPr="004515CB">
              <w:rPr>
                <w:rFonts w:ascii="Titillium Web" w:eastAsia="Times New Roman" w:hAnsi="Titillium Web" w:cs="Times New Roman"/>
                <w:b/>
                <w:sz w:val="22"/>
                <w:szCs w:val="22"/>
                <w:lang w:eastAsia="it-IT"/>
              </w:rPr>
              <w:t>n.</w:t>
            </w:r>
          </w:p>
        </w:tc>
        <w:tc>
          <w:tcPr>
            <w:tcW w:w="4819" w:type="dxa"/>
            <w:shd w:val="clear" w:color="auto" w:fill="auto"/>
            <w:vAlign w:val="center"/>
          </w:tcPr>
          <w:p w14:paraId="4C7A1B84"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
                <w:sz w:val="22"/>
                <w:szCs w:val="22"/>
                <w:lang w:eastAsia="it-IT"/>
              </w:rPr>
            </w:pPr>
            <w:r w:rsidRPr="004515CB">
              <w:rPr>
                <w:rFonts w:ascii="Titillium Web" w:eastAsia="Times New Roman" w:hAnsi="Titillium Web" w:cs="Times New Roman"/>
                <w:b/>
                <w:sz w:val="22"/>
                <w:szCs w:val="22"/>
                <w:lang w:eastAsia="it-IT"/>
              </w:rPr>
              <w:t>Elemento di controllo</w:t>
            </w:r>
          </w:p>
        </w:tc>
        <w:tc>
          <w:tcPr>
            <w:tcW w:w="1843" w:type="dxa"/>
            <w:shd w:val="clear" w:color="auto" w:fill="auto"/>
            <w:vAlign w:val="center"/>
          </w:tcPr>
          <w:p w14:paraId="037E6A5A"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
                <w:sz w:val="22"/>
                <w:szCs w:val="22"/>
                <w:lang w:eastAsia="it-IT"/>
              </w:rPr>
            </w:pPr>
            <w:r w:rsidRPr="004515CB">
              <w:rPr>
                <w:rFonts w:ascii="Titillium Web" w:eastAsia="Times New Roman" w:hAnsi="Titillium Web" w:cs="Times New Roman"/>
                <w:b/>
                <w:sz w:val="22"/>
                <w:szCs w:val="22"/>
                <w:lang w:eastAsia="it-IT"/>
              </w:rPr>
              <w:t>Esito</w:t>
            </w:r>
          </w:p>
          <w:p w14:paraId="23C2B88B"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
                <w:sz w:val="22"/>
                <w:szCs w:val="22"/>
                <w:lang w:eastAsia="it-IT"/>
              </w:rPr>
            </w:pPr>
            <w:r w:rsidRPr="004515CB">
              <w:rPr>
                <w:rFonts w:ascii="Titillium Web" w:eastAsia="Times New Roman" w:hAnsi="Titillium Web" w:cs="Times New Roman"/>
                <w:b/>
                <w:sz w:val="22"/>
                <w:szCs w:val="22"/>
                <w:lang w:eastAsia="it-IT"/>
              </w:rPr>
              <w:t xml:space="preserve"> (Sì/No/Non applicabile)</w:t>
            </w:r>
          </w:p>
        </w:tc>
        <w:tc>
          <w:tcPr>
            <w:tcW w:w="1486" w:type="dxa"/>
            <w:shd w:val="clear" w:color="auto" w:fill="auto"/>
            <w:vAlign w:val="center"/>
          </w:tcPr>
          <w:p w14:paraId="002E68AB"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
                <w:sz w:val="22"/>
                <w:szCs w:val="22"/>
                <w:lang w:eastAsia="it-IT"/>
              </w:rPr>
            </w:pPr>
            <w:r w:rsidRPr="004515CB">
              <w:rPr>
                <w:rFonts w:ascii="Titillium Web" w:eastAsia="Times New Roman" w:hAnsi="Titillium Web" w:cs="Times New Roman"/>
                <w:b/>
                <w:sz w:val="22"/>
                <w:szCs w:val="22"/>
                <w:lang w:eastAsia="it-IT"/>
              </w:rPr>
              <w:t>Commento (obbligatorio in caso di N/A)</w:t>
            </w:r>
          </w:p>
        </w:tc>
      </w:tr>
      <w:tr w:rsidR="004A6CE5" w:rsidRPr="004515CB" w14:paraId="65C2A41D" w14:textId="77777777" w:rsidTr="00442A17">
        <w:tc>
          <w:tcPr>
            <w:tcW w:w="1063" w:type="dxa"/>
            <w:vMerge w:val="restart"/>
            <w:shd w:val="clear" w:color="auto" w:fill="auto"/>
            <w:vAlign w:val="center"/>
          </w:tcPr>
          <w:p w14:paraId="26C7B7B3"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r w:rsidRPr="004515CB">
              <w:rPr>
                <w:rFonts w:ascii="Titillium Web" w:eastAsia="Times New Roman" w:hAnsi="Titillium Web" w:cs="Times New Roman"/>
                <w:i/>
                <w:sz w:val="22"/>
                <w:szCs w:val="22"/>
                <w:lang w:eastAsia="it-IT"/>
              </w:rPr>
              <w:t>Ex ante</w:t>
            </w:r>
          </w:p>
        </w:tc>
        <w:tc>
          <w:tcPr>
            <w:tcW w:w="567" w:type="dxa"/>
            <w:shd w:val="clear" w:color="auto" w:fill="auto"/>
            <w:vAlign w:val="center"/>
          </w:tcPr>
          <w:p w14:paraId="56DF095A"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1</w:t>
            </w:r>
          </w:p>
        </w:tc>
        <w:tc>
          <w:tcPr>
            <w:tcW w:w="4819" w:type="dxa"/>
            <w:shd w:val="clear" w:color="auto" w:fill="auto"/>
          </w:tcPr>
          <w:p w14:paraId="45769E02"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È disponibile l’iscrizione alla piattaforma RAEE in qualità di produttore e/o distributore e/o fornitore?</w:t>
            </w:r>
          </w:p>
        </w:tc>
        <w:tc>
          <w:tcPr>
            <w:tcW w:w="1843" w:type="dxa"/>
            <w:shd w:val="clear" w:color="auto" w:fill="auto"/>
          </w:tcPr>
          <w:p w14:paraId="7298842C"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1486" w:type="dxa"/>
            <w:shd w:val="clear" w:color="auto" w:fill="auto"/>
          </w:tcPr>
          <w:p w14:paraId="601376D5"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r>
      <w:tr w:rsidR="004A6CE5" w:rsidRPr="004515CB" w14:paraId="631634A9" w14:textId="77777777" w:rsidTr="00442A17">
        <w:tc>
          <w:tcPr>
            <w:tcW w:w="1063" w:type="dxa"/>
            <w:vMerge/>
            <w:shd w:val="clear" w:color="auto" w:fill="auto"/>
          </w:tcPr>
          <w:p w14:paraId="771EEB76"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567" w:type="dxa"/>
            <w:shd w:val="clear" w:color="auto" w:fill="auto"/>
            <w:vAlign w:val="center"/>
          </w:tcPr>
          <w:p w14:paraId="783C0287"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2</w:t>
            </w:r>
          </w:p>
        </w:tc>
        <w:tc>
          <w:tcPr>
            <w:tcW w:w="4819" w:type="dxa"/>
            <w:shd w:val="clear" w:color="auto" w:fill="auto"/>
          </w:tcPr>
          <w:p w14:paraId="3139EE34"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I prodotti elettronici acquistati sono dotati di un’etichetta ambientale di tipo I, secondo la UNI EN ISO 14024, ad esempio TCO Certified, EPEAT 2018, Blue Angel, TÜV Green Product Mark o di etichetta equivalente)</w:t>
            </w:r>
          </w:p>
        </w:tc>
        <w:tc>
          <w:tcPr>
            <w:tcW w:w="1843" w:type="dxa"/>
            <w:shd w:val="clear" w:color="auto" w:fill="auto"/>
          </w:tcPr>
          <w:p w14:paraId="16740FCB"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 xml:space="preserve"> </w:t>
            </w:r>
          </w:p>
        </w:tc>
        <w:tc>
          <w:tcPr>
            <w:tcW w:w="1486" w:type="dxa"/>
            <w:shd w:val="clear" w:color="auto" w:fill="auto"/>
          </w:tcPr>
          <w:p w14:paraId="7D8E9C7C"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r w:rsidRPr="004515CB">
              <w:rPr>
                <w:rFonts w:ascii="Titillium Web" w:eastAsia="Times New Roman" w:hAnsi="Titillium Web" w:cs="Times New Roman"/>
                <w:i/>
                <w:sz w:val="22"/>
                <w:szCs w:val="22"/>
                <w:lang w:eastAsia="it-IT"/>
              </w:rPr>
              <w:t>Specificare il tipo di etichetta ambientale di tipo I</w:t>
            </w:r>
          </w:p>
        </w:tc>
      </w:tr>
      <w:tr w:rsidR="004A6CE5" w:rsidRPr="004515CB" w14:paraId="348849AD" w14:textId="77777777" w:rsidTr="00442A17">
        <w:tc>
          <w:tcPr>
            <w:tcW w:w="1063" w:type="dxa"/>
            <w:vMerge/>
            <w:shd w:val="clear" w:color="auto" w:fill="auto"/>
          </w:tcPr>
          <w:p w14:paraId="65EF1BB9"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8715" w:type="dxa"/>
            <w:gridSpan w:val="4"/>
            <w:shd w:val="clear" w:color="auto" w:fill="auto"/>
          </w:tcPr>
          <w:p w14:paraId="21076A5E"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
                <w:i/>
                <w:sz w:val="22"/>
                <w:szCs w:val="22"/>
                <w:lang w:eastAsia="it-IT"/>
              </w:rPr>
            </w:pPr>
            <w:r w:rsidRPr="004515CB">
              <w:rPr>
                <w:rFonts w:ascii="Titillium Web" w:eastAsia="Times New Roman" w:hAnsi="Titillium Web" w:cs="Times New Roman"/>
                <w:b/>
                <w:i/>
                <w:sz w:val="22"/>
                <w:szCs w:val="22"/>
                <w:lang w:eastAsia="it-IT"/>
              </w:rPr>
              <w:t>In caso di assenza di un’etichetta ambientale di tipo I dovranno essere verificati i requisiti seguenti al posto del punto 2</w:t>
            </w:r>
          </w:p>
        </w:tc>
      </w:tr>
      <w:tr w:rsidR="004A6CE5" w:rsidRPr="004515CB" w14:paraId="57E53722" w14:textId="77777777" w:rsidTr="00442A17">
        <w:tc>
          <w:tcPr>
            <w:tcW w:w="1063" w:type="dxa"/>
            <w:vMerge/>
            <w:shd w:val="clear" w:color="auto" w:fill="auto"/>
          </w:tcPr>
          <w:p w14:paraId="6B7F4E28"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567" w:type="dxa"/>
            <w:shd w:val="clear" w:color="auto" w:fill="auto"/>
          </w:tcPr>
          <w:p w14:paraId="0DE64C58"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3</w:t>
            </w:r>
          </w:p>
        </w:tc>
        <w:tc>
          <w:tcPr>
            <w:tcW w:w="4819" w:type="dxa"/>
            <w:shd w:val="clear" w:color="auto" w:fill="auto"/>
          </w:tcPr>
          <w:p w14:paraId="570B9087"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L'AEE è dotata di Etichetta EPA ENERGY STAR?</w:t>
            </w:r>
          </w:p>
        </w:tc>
        <w:tc>
          <w:tcPr>
            <w:tcW w:w="1843" w:type="dxa"/>
            <w:shd w:val="clear" w:color="auto" w:fill="auto"/>
          </w:tcPr>
          <w:p w14:paraId="71B46C99"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c>
          <w:tcPr>
            <w:tcW w:w="1486" w:type="dxa"/>
            <w:shd w:val="clear" w:color="auto" w:fill="auto"/>
          </w:tcPr>
          <w:p w14:paraId="31B71674"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r>
      <w:tr w:rsidR="004A6CE5" w:rsidRPr="004515CB" w14:paraId="33808DCC" w14:textId="77777777" w:rsidTr="00442A17">
        <w:tc>
          <w:tcPr>
            <w:tcW w:w="1063" w:type="dxa"/>
            <w:vMerge/>
            <w:shd w:val="clear" w:color="auto" w:fill="auto"/>
          </w:tcPr>
          <w:p w14:paraId="0F80E8C6"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8715" w:type="dxa"/>
            <w:gridSpan w:val="4"/>
            <w:shd w:val="clear" w:color="auto" w:fill="auto"/>
          </w:tcPr>
          <w:p w14:paraId="5F6EAA1A"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
                <w:i/>
                <w:sz w:val="22"/>
                <w:szCs w:val="22"/>
                <w:lang w:eastAsia="it-IT"/>
              </w:rPr>
            </w:pPr>
            <w:r w:rsidRPr="004515CB">
              <w:rPr>
                <w:rFonts w:ascii="Titillium Web" w:eastAsia="Times New Roman" w:hAnsi="Titillium Web" w:cs="Times New Roman"/>
                <w:b/>
                <w:i/>
                <w:sz w:val="22"/>
                <w:szCs w:val="22"/>
                <w:lang w:eastAsia="it-IT"/>
              </w:rPr>
              <w:t>In alternativa al punto 3, rispondere al punto 3.1</w:t>
            </w:r>
          </w:p>
        </w:tc>
      </w:tr>
      <w:tr w:rsidR="004A6CE5" w:rsidRPr="004515CB" w14:paraId="2C27BC10" w14:textId="77777777" w:rsidTr="00442A17">
        <w:tc>
          <w:tcPr>
            <w:tcW w:w="1063" w:type="dxa"/>
            <w:vMerge/>
            <w:shd w:val="clear" w:color="auto" w:fill="auto"/>
          </w:tcPr>
          <w:p w14:paraId="65CCA998"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567" w:type="dxa"/>
            <w:shd w:val="clear" w:color="auto" w:fill="auto"/>
            <w:vAlign w:val="center"/>
          </w:tcPr>
          <w:p w14:paraId="779307EE"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3.1</w:t>
            </w:r>
          </w:p>
        </w:tc>
        <w:tc>
          <w:tcPr>
            <w:tcW w:w="4819" w:type="dxa"/>
            <w:shd w:val="clear" w:color="auto" w:fill="auto"/>
          </w:tcPr>
          <w:p w14:paraId="5EA41BE3"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È disponibile una dichiarazione del produttore che attesti che il consumo tipico di energia elettrica (</w:t>
            </w:r>
            <w:proofErr w:type="spellStart"/>
            <w:r w:rsidRPr="004515CB">
              <w:rPr>
                <w:rFonts w:ascii="Titillium Web" w:eastAsia="Times New Roman" w:hAnsi="Titillium Web" w:cs="Times New Roman"/>
                <w:sz w:val="22"/>
                <w:szCs w:val="22"/>
                <w:lang w:eastAsia="it-IT"/>
              </w:rPr>
              <w:t>Etec</w:t>
            </w:r>
            <w:proofErr w:type="spellEnd"/>
            <w:r w:rsidRPr="004515CB">
              <w:rPr>
                <w:rFonts w:ascii="Titillium Web" w:eastAsia="Times New Roman" w:hAnsi="Titillium Web" w:cs="Times New Roman"/>
                <w:sz w:val="22"/>
                <w:szCs w:val="22"/>
                <w:lang w:eastAsia="it-IT"/>
              </w:rPr>
              <w:t>), calcolato per ogni dispositivo offerto, non superi il TEC massimo necessario (</w:t>
            </w:r>
            <w:proofErr w:type="spellStart"/>
            <w:r w:rsidRPr="004515CB">
              <w:rPr>
                <w:rFonts w:ascii="Titillium Web" w:eastAsia="Times New Roman" w:hAnsi="Titillium Web" w:cs="Times New Roman"/>
                <w:sz w:val="22"/>
                <w:szCs w:val="22"/>
                <w:lang w:eastAsia="it-IT"/>
              </w:rPr>
              <w:t>Etec</w:t>
            </w:r>
            <w:proofErr w:type="spellEnd"/>
            <w:r w:rsidRPr="004515CB">
              <w:rPr>
                <w:rFonts w:ascii="Titillium Web" w:eastAsia="Times New Roman" w:hAnsi="Titillium Web" w:cs="Times New Roman"/>
                <w:sz w:val="22"/>
                <w:szCs w:val="22"/>
                <w:lang w:eastAsia="it-IT"/>
              </w:rPr>
              <w:t>-max) in linea con quanto descritto nell’Allegato III dei criteri GPP UE?</w:t>
            </w:r>
          </w:p>
        </w:tc>
        <w:tc>
          <w:tcPr>
            <w:tcW w:w="1843" w:type="dxa"/>
            <w:shd w:val="clear" w:color="auto" w:fill="auto"/>
          </w:tcPr>
          <w:p w14:paraId="58CEB8FE"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c>
          <w:tcPr>
            <w:tcW w:w="1486" w:type="dxa"/>
            <w:shd w:val="clear" w:color="auto" w:fill="auto"/>
          </w:tcPr>
          <w:p w14:paraId="0D9BC6D6"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r>
      <w:tr w:rsidR="004A6CE5" w:rsidRPr="004515CB" w14:paraId="11866EE0" w14:textId="77777777" w:rsidTr="00442A17">
        <w:tc>
          <w:tcPr>
            <w:tcW w:w="1063" w:type="dxa"/>
            <w:vMerge/>
            <w:shd w:val="clear" w:color="auto" w:fill="auto"/>
          </w:tcPr>
          <w:p w14:paraId="0B666DC2"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567" w:type="dxa"/>
            <w:shd w:val="clear" w:color="auto" w:fill="auto"/>
            <w:vAlign w:val="center"/>
          </w:tcPr>
          <w:p w14:paraId="738D6AF0"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4</w:t>
            </w:r>
          </w:p>
        </w:tc>
        <w:tc>
          <w:tcPr>
            <w:tcW w:w="4819" w:type="dxa"/>
            <w:shd w:val="clear" w:color="auto" w:fill="auto"/>
          </w:tcPr>
          <w:p w14:paraId="134C73A0"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Nel libretto d’istruzione sono comprese istruzioni che spieghino come ridurre al minimo il consumo di energia?</w:t>
            </w:r>
          </w:p>
        </w:tc>
        <w:tc>
          <w:tcPr>
            <w:tcW w:w="1843" w:type="dxa"/>
            <w:shd w:val="clear" w:color="auto" w:fill="auto"/>
          </w:tcPr>
          <w:p w14:paraId="76FC6D1B"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c>
          <w:tcPr>
            <w:tcW w:w="1486" w:type="dxa"/>
            <w:shd w:val="clear" w:color="auto" w:fill="auto"/>
          </w:tcPr>
          <w:p w14:paraId="4CF2968D"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r>
      <w:tr w:rsidR="004A6CE5" w:rsidRPr="004515CB" w14:paraId="582E7FE5" w14:textId="77777777" w:rsidTr="00442A17">
        <w:tc>
          <w:tcPr>
            <w:tcW w:w="1063" w:type="dxa"/>
            <w:vMerge/>
            <w:shd w:val="clear" w:color="auto" w:fill="auto"/>
          </w:tcPr>
          <w:p w14:paraId="6D583E12"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567" w:type="dxa"/>
            <w:shd w:val="clear" w:color="auto" w:fill="auto"/>
            <w:vAlign w:val="center"/>
          </w:tcPr>
          <w:p w14:paraId="6D52294E"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5</w:t>
            </w:r>
          </w:p>
        </w:tc>
        <w:tc>
          <w:tcPr>
            <w:tcW w:w="4819" w:type="dxa"/>
            <w:shd w:val="clear" w:color="auto" w:fill="auto"/>
          </w:tcPr>
          <w:p w14:paraId="04077D6A"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L'offerente rende disponibili le parti di ricambio originali o equivalenti (direttamente o tramite mandatari) per la durata di vita prevista dell'apparecchiatura, per un periodo di almeno cinque anni oltre al periodo di garanzia?</w:t>
            </w:r>
          </w:p>
        </w:tc>
        <w:tc>
          <w:tcPr>
            <w:tcW w:w="1843" w:type="dxa"/>
            <w:shd w:val="clear" w:color="auto" w:fill="auto"/>
          </w:tcPr>
          <w:p w14:paraId="2E630A86"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c>
          <w:tcPr>
            <w:tcW w:w="1486" w:type="dxa"/>
            <w:shd w:val="clear" w:color="auto" w:fill="auto"/>
          </w:tcPr>
          <w:p w14:paraId="2897874E"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r>
      <w:tr w:rsidR="004A6CE5" w:rsidRPr="004515CB" w14:paraId="72EFFDEC" w14:textId="77777777" w:rsidTr="00442A17">
        <w:tc>
          <w:tcPr>
            <w:tcW w:w="1063" w:type="dxa"/>
            <w:vMerge/>
            <w:shd w:val="clear" w:color="auto" w:fill="auto"/>
          </w:tcPr>
          <w:p w14:paraId="0AED55C0"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567" w:type="dxa"/>
            <w:shd w:val="clear" w:color="auto" w:fill="auto"/>
            <w:vAlign w:val="center"/>
          </w:tcPr>
          <w:p w14:paraId="4DFF6D42"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6</w:t>
            </w:r>
          </w:p>
        </w:tc>
        <w:tc>
          <w:tcPr>
            <w:tcW w:w="4819" w:type="dxa"/>
            <w:shd w:val="clear" w:color="auto" w:fill="auto"/>
          </w:tcPr>
          <w:p w14:paraId="5B0F53E4"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L'offerente fornisce le raccomandazioni per un'adeguata manutenzione del prodotto, comprese informazioni sulle parti di ricambio che possono essere sostituite, consigli per la pulizia?</w:t>
            </w:r>
          </w:p>
        </w:tc>
        <w:tc>
          <w:tcPr>
            <w:tcW w:w="1843" w:type="dxa"/>
            <w:shd w:val="clear" w:color="auto" w:fill="auto"/>
          </w:tcPr>
          <w:p w14:paraId="761246A3"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c>
          <w:tcPr>
            <w:tcW w:w="1486" w:type="dxa"/>
            <w:shd w:val="clear" w:color="auto" w:fill="auto"/>
          </w:tcPr>
          <w:p w14:paraId="362CE23D"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r>
      <w:tr w:rsidR="004A6CE5" w:rsidRPr="004515CB" w14:paraId="3123E92E" w14:textId="77777777" w:rsidTr="00442A17">
        <w:tc>
          <w:tcPr>
            <w:tcW w:w="1063" w:type="dxa"/>
            <w:vMerge/>
            <w:shd w:val="clear" w:color="auto" w:fill="auto"/>
          </w:tcPr>
          <w:p w14:paraId="7BED36AD"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567" w:type="dxa"/>
            <w:shd w:val="clear" w:color="auto" w:fill="auto"/>
            <w:vAlign w:val="center"/>
          </w:tcPr>
          <w:p w14:paraId="56577312"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7</w:t>
            </w:r>
          </w:p>
        </w:tc>
        <w:tc>
          <w:tcPr>
            <w:tcW w:w="4819" w:type="dxa"/>
            <w:shd w:val="clear" w:color="auto" w:fill="auto"/>
          </w:tcPr>
          <w:p w14:paraId="73E66CDA"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Nel caso di server e prodotti di archiviazioni dati, è disponibile la dichiarazione dei produttori/fornitori di conformità alla seguente normativa: ecodesign (Regolamento (EU) 2019/424)?</w:t>
            </w:r>
          </w:p>
        </w:tc>
        <w:tc>
          <w:tcPr>
            <w:tcW w:w="1843" w:type="dxa"/>
            <w:shd w:val="clear" w:color="auto" w:fill="auto"/>
          </w:tcPr>
          <w:p w14:paraId="69EAD5F0"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c>
          <w:tcPr>
            <w:tcW w:w="1486" w:type="dxa"/>
            <w:shd w:val="clear" w:color="auto" w:fill="auto"/>
          </w:tcPr>
          <w:p w14:paraId="711E4402"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r>
      <w:tr w:rsidR="004A6CE5" w:rsidRPr="004515CB" w14:paraId="04D9146B" w14:textId="77777777" w:rsidTr="00442A17">
        <w:tc>
          <w:tcPr>
            <w:tcW w:w="1063" w:type="dxa"/>
            <w:vMerge/>
            <w:shd w:val="clear" w:color="auto" w:fill="auto"/>
          </w:tcPr>
          <w:p w14:paraId="49B54547"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567" w:type="dxa"/>
            <w:shd w:val="clear" w:color="auto" w:fill="auto"/>
            <w:vAlign w:val="center"/>
          </w:tcPr>
          <w:p w14:paraId="4A2F9E24"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8</w:t>
            </w:r>
          </w:p>
        </w:tc>
        <w:tc>
          <w:tcPr>
            <w:tcW w:w="4819" w:type="dxa"/>
            <w:shd w:val="clear" w:color="auto" w:fill="auto"/>
          </w:tcPr>
          <w:p w14:paraId="1FD2B3C1"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Nel caso di computer fissi e display, è presente la marcatura di alloggiamenti e mascherine di plastica secondo gli standard ISO 11469 e ISO 1043?</w:t>
            </w:r>
          </w:p>
        </w:tc>
        <w:tc>
          <w:tcPr>
            <w:tcW w:w="1843" w:type="dxa"/>
            <w:shd w:val="clear" w:color="auto" w:fill="auto"/>
          </w:tcPr>
          <w:p w14:paraId="7146C36F"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c>
          <w:tcPr>
            <w:tcW w:w="1486" w:type="dxa"/>
            <w:shd w:val="clear" w:color="auto" w:fill="auto"/>
          </w:tcPr>
          <w:p w14:paraId="42C46EBD"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r>
      <w:tr w:rsidR="004A6CE5" w:rsidRPr="004515CB" w14:paraId="49FCB4EF" w14:textId="77777777" w:rsidTr="00442A17">
        <w:tc>
          <w:tcPr>
            <w:tcW w:w="1063" w:type="dxa"/>
            <w:vMerge/>
            <w:shd w:val="clear" w:color="auto" w:fill="auto"/>
          </w:tcPr>
          <w:p w14:paraId="16F0F27D"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567" w:type="dxa"/>
            <w:shd w:val="clear" w:color="auto" w:fill="auto"/>
            <w:vAlign w:val="center"/>
          </w:tcPr>
          <w:p w14:paraId="34935FEE"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9</w:t>
            </w:r>
          </w:p>
        </w:tc>
        <w:tc>
          <w:tcPr>
            <w:tcW w:w="4819" w:type="dxa"/>
            <w:shd w:val="clear" w:color="auto" w:fill="auto"/>
          </w:tcPr>
          <w:p w14:paraId="14D401FC"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Nel caso di fornitura di apparecchiature TIC ricondizionate/rifabbricate, è disponibile una delle certificazioni di sistema di gestione seguente:</w:t>
            </w:r>
          </w:p>
          <w:p w14:paraId="245CCFD4"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 ISO 9001 e ISO 14001 / regolamento EMAS (certificazione di sistema di gestione disponibile sotto accreditamento – il campo di applicazione della certificazione dovrà riportare lo specifico scopo richiesto);</w:t>
            </w:r>
          </w:p>
          <w:p w14:paraId="179DC319"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 EN 50614:2020 (qualora l'apparecchiatura sia stata precedentemente scartata come rifiuto RAEE, e preparata per il riutilizzo per lo stesso scopo per cui è stata concepita)?</w:t>
            </w:r>
          </w:p>
        </w:tc>
        <w:tc>
          <w:tcPr>
            <w:tcW w:w="1843" w:type="dxa"/>
            <w:shd w:val="clear" w:color="auto" w:fill="auto"/>
          </w:tcPr>
          <w:p w14:paraId="1A5249B6"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c>
          <w:tcPr>
            <w:tcW w:w="1486" w:type="dxa"/>
            <w:shd w:val="clear" w:color="auto" w:fill="auto"/>
          </w:tcPr>
          <w:p w14:paraId="61E2845C"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r>
      <w:tr w:rsidR="004A6CE5" w:rsidRPr="004515CB" w14:paraId="0198CB29" w14:textId="77777777" w:rsidTr="00442A17">
        <w:tc>
          <w:tcPr>
            <w:tcW w:w="1063" w:type="dxa"/>
            <w:vMerge/>
            <w:shd w:val="clear" w:color="auto" w:fill="auto"/>
          </w:tcPr>
          <w:p w14:paraId="7EB603CC"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567" w:type="dxa"/>
            <w:shd w:val="clear" w:color="auto" w:fill="auto"/>
            <w:vAlign w:val="center"/>
          </w:tcPr>
          <w:p w14:paraId="27BC942F"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10</w:t>
            </w:r>
          </w:p>
        </w:tc>
        <w:tc>
          <w:tcPr>
            <w:tcW w:w="4819" w:type="dxa"/>
            <w:shd w:val="clear" w:color="auto" w:fill="auto"/>
          </w:tcPr>
          <w:p w14:paraId="088D9848"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 xml:space="preserve">È disponibile una dichiarazione del produttore/fornitore di rispetto della seguente normativa: REACH (Regolamento (CE) n.1907/2006); </w:t>
            </w:r>
            <w:proofErr w:type="spellStart"/>
            <w:r w:rsidRPr="004515CB">
              <w:rPr>
                <w:rFonts w:ascii="Titillium Web" w:eastAsia="Times New Roman" w:hAnsi="Titillium Web" w:cs="Times New Roman"/>
                <w:sz w:val="22"/>
                <w:szCs w:val="22"/>
                <w:lang w:eastAsia="it-IT"/>
              </w:rPr>
              <w:t>RoHS</w:t>
            </w:r>
            <w:proofErr w:type="spellEnd"/>
            <w:r w:rsidRPr="004515CB">
              <w:rPr>
                <w:rFonts w:ascii="Titillium Web" w:eastAsia="Times New Roman" w:hAnsi="Titillium Web" w:cs="Times New Roman"/>
                <w:sz w:val="22"/>
                <w:szCs w:val="22"/>
                <w:lang w:eastAsia="it-IT"/>
              </w:rPr>
              <w:t xml:space="preserve"> (Direttiva 2011/65/EU e </w:t>
            </w:r>
            <w:proofErr w:type="spellStart"/>
            <w:r w:rsidRPr="004515CB">
              <w:rPr>
                <w:rFonts w:ascii="Titillium Web" w:eastAsia="Times New Roman" w:hAnsi="Titillium Web" w:cs="Times New Roman"/>
                <w:sz w:val="22"/>
                <w:szCs w:val="22"/>
                <w:lang w:eastAsia="it-IT"/>
              </w:rPr>
              <w:t>s.m.i.</w:t>
            </w:r>
            <w:proofErr w:type="spellEnd"/>
            <w:r w:rsidRPr="004515CB">
              <w:rPr>
                <w:rFonts w:ascii="Titillium Web" w:eastAsia="Times New Roman" w:hAnsi="Titillium Web" w:cs="Times New Roman"/>
                <w:sz w:val="22"/>
                <w:szCs w:val="22"/>
                <w:lang w:eastAsia="it-IT"/>
              </w:rPr>
              <w:t xml:space="preserve">); Compatibilità elettromagnetica (Direttiva 2014/30/UE e </w:t>
            </w:r>
            <w:proofErr w:type="spellStart"/>
            <w:r w:rsidRPr="004515CB">
              <w:rPr>
                <w:rFonts w:ascii="Titillium Web" w:eastAsia="Times New Roman" w:hAnsi="Titillium Web" w:cs="Times New Roman"/>
                <w:sz w:val="22"/>
                <w:szCs w:val="22"/>
                <w:lang w:eastAsia="it-IT"/>
              </w:rPr>
              <w:t>s.m.i.</w:t>
            </w:r>
            <w:proofErr w:type="spellEnd"/>
            <w:r w:rsidRPr="004515CB">
              <w:rPr>
                <w:rFonts w:ascii="Titillium Web" w:eastAsia="Times New Roman" w:hAnsi="Titillium Web" w:cs="Times New Roman"/>
                <w:sz w:val="22"/>
                <w:szCs w:val="22"/>
                <w:lang w:eastAsia="it-IT"/>
              </w:rPr>
              <w:t>)?</w:t>
            </w:r>
          </w:p>
        </w:tc>
        <w:tc>
          <w:tcPr>
            <w:tcW w:w="1843" w:type="dxa"/>
            <w:shd w:val="clear" w:color="auto" w:fill="auto"/>
          </w:tcPr>
          <w:p w14:paraId="3B17C764"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c>
          <w:tcPr>
            <w:tcW w:w="1486" w:type="dxa"/>
            <w:shd w:val="clear" w:color="auto" w:fill="auto"/>
          </w:tcPr>
          <w:p w14:paraId="1A491AE0"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r>
      <w:tr w:rsidR="004A6CE5" w:rsidRPr="004515CB" w14:paraId="63235C6A" w14:textId="77777777" w:rsidTr="00442A17">
        <w:tc>
          <w:tcPr>
            <w:tcW w:w="1063" w:type="dxa"/>
            <w:vMerge/>
            <w:shd w:val="clear" w:color="auto" w:fill="auto"/>
          </w:tcPr>
          <w:p w14:paraId="5DB697D1"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567" w:type="dxa"/>
            <w:shd w:val="clear" w:color="auto" w:fill="auto"/>
            <w:vAlign w:val="center"/>
          </w:tcPr>
          <w:p w14:paraId="40EB2869"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11</w:t>
            </w:r>
          </w:p>
        </w:tc>
        <w:tc>
          <w:tcPr>
            <w:tcW w:w="4819" w:type="dxa"/>
            <w:shd w:val="clear" w:color="auto" w:fill="auto"/>
          </w:tcPr>
          <w:p w14:paraId="187A1046"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Sono state indicate le limitazioni delle caratteristiche di pericolo dei materiali che si prevede utilizzare (Art. 57, Regolamento CE 1907/2006, REACH)?</w:t>
            </w:r>
          </w:p>
        </w:tc>
        <w:tc>
          <w:tcPr>
            <w:tcW w:w="1843" w:type="dxa"/>
            <w:shd w:val="clear" w:color="auto" w:fill="auto"/>
          </w:tcPr>
          <w:p w14:paraId="1DCF15E3"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c>
          <w:tcPr>
            <w:tcW w:w="1486" w:type="dxa"/>
            <w:shd w:val="clear" w:color="auto" w:fill="auto"/>
          </w:tcPr>
          <w:p w14:paraId="2C8771BE"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r>
      <w:tr w:rsidR="004A6CE5" w:rsidRPr="004515CB" w14:paraId="30335997" w14:textId="77777777" w:rsidTr="00442A17">
        <w:tc>
          <w:tcPr>
            <w:tcW w:w="1063" w:type="dxa"/>
            <w:vMerge/>
            <w:shd w:val="clear" w:color="auto" w:fill="auto"/>
          </w:tcPr>
          <w:p w14:paraId="5E9D38E8"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8715" w:type="dxa"/>
            <w:gridSpan w:val="4"/>
            <w:shd w:val="clear" w:color="auto" w:fill="auto"/>
            <w:vAlign w:val="center"/>
          </w:tcPr>
          <w:p w14:paraId="509CF36C"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
                <w:i/>
                <w:sz w:val="22"/>
                <w:szCs w:val="22"/>
                <w:lang w:eastAsia="it-IT"/>
              </w:rPr>
            </w:pPr>
            <w:r w:rsidRPr="004515CB">
              <w:rPr>
                <w:rFonts w:ascii="Titillium Web" w:eastAsia="Times New Roman" w:hAnsi="Titillium Web" w:cs="Times New Roman"/>
                <w:b/>
                <w:i/>
                <w:sz w:val="22"/>
                <w:szCs w:val="22"/>
                <w:lang w:eastAsia="it-IT"/>
              </w:rPr>
              <w:t xml:space="preserve">Alle apparecchiature per stampa, copia, multifunzione e servizi di </w:t>
            </w:r>
            <w:proofErr w:type="spellStart"/>
            <w:r w:rsidRPr="004515CB">
              <w:rPr>
                <w:rFonts w:ascii="Titillium Web" w:eastAsia="Times New Roman" w:hAnsi="Titillium Web" w:cs="Times New Roman"/>
                <w:b/>
                <w:i/>
                <w:sz w:val="22"/>
                <w:szCs w:val="22"/>
                <w:lang w:eastAsia="it-IT"/>
              </w:rPr>
              <w:t>Print&amp;Copy</w:t>
            </w:r>
            <w:proofErr w:type="spellEnd"/>
            <w:r w:rsidRPr="004515CB">
              <w:rPr>
                <w:rFonts w:ascii="Titillium Web" w:eastAsia="Times New Roman" w:hAnsi="Titillium Web" w:cs="Times New Roman"/>
                <w:b/>
                <w:i/>
                <w:sz w:val="22"/>
                <w:szCs w:val="22"/>
                <w:lang w:eastAsia="it-IT"/>
              </w:rPr>
              <w:t xml:space="preserve"> si applica un requisito trasversale</w:t>
            </w:r>
          </w:p>
        </w:tc>
      </w:tr>
      <w:tr w:rsidR="004A6CE5" w:rsidRPr="004515CB" w14:paraId="5F0F9DB7" w14:textId="77777777" w:rsidTr="00442A17">
        <w:tc>
          <w:tcPr>
            <w:tcW w:w="1063" w:type="dxa"/>
            <w:vMerge/>
            <w:shd w:val="clear" w:color="auto" w:fill="auto"/>
          </w:tcPr>
          <w:p w14:paraId="3D00CA26"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p>
        </w:tc>
        <w:tc>
          <w:tcPr>
            <w:tcW w:w="567" w:type="dxa"/>
            <w:shd w:val="clear" w:color="auto" w:fill="auto"/>
            <w:vAlign w:val="center"/>
          </w:tcPr>
          <w:p w14:paraId="6257FAE7"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lang w:eastAsia="it-IT"/>
              </w:rPr>
            </w:pPr>
            <w:r w:rsidRPr="004515CB">
              <w:rPr>
                <w:rFonts w:ascii="Titillium Web" w:eastAsia="Times New Roman" w:hAnsi="Titillium Web" w:cs="Times New Roman"/>
                <w:sz w:val="22"/>
                <w:szCs w:val="22"/>
                <w:lang w:eastAsia="it-IT"/>
              </w:rPr>
              <w:t>12</w:t>
            </w:r>
          </w:p>
        </w:tc>
        <w:tc>
          <w:tcPr>
            <w:tcW w:w="4819" w:type="dxa"/>
            <w:shd w:val="clear" w:color="auto" w:fill="auto"/>
          </w:tcPr>
          <w:p w14:paraId="64416DB8"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sz w:val="22"/>
                <w:szCs w:val="22"/>
                <w:highlight w:val="yellow"/>
                <w:lang w:eastAsia="it-IT"/>
              </w:rPr>
            </w:pPr>
            <w:proofErr w:type="gramStart"/>
            <w:r w:rsidRPr="004515CB">
              <w:rPr>
                <w:rFonts w:ascii="Titillium Web" w:eastAsia="Times New Roman" w:hAnsi="Titillium Web" w:cs="Times New Roman"/>
                <w:sz w:val="22"/>
                <w:szCs w:val="22"/>
                <w:lang w:eastAsia="it-IT"/>
              </w:rPr>
              <w:t>E'</w:t>
            </w:r>
            <w:proofErr w:type="gramEnd"/>
            <w:r w:rsidRPr="004515CB">
              <w:rPr>
                <w:rFonts w:ascii="Titillium Web" w:eastAsia="Times New Roman" w:hAnsi="Titillium Web" w:cs="Times New Roman"/>
                <w:sz w:val="22"/>
                <w:szCs w:val="22"/>
                <w:lang w:eastAsia="it-IT"/>
              </w:rPr>
              <w:t xml:space="preserv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w:t>
            </w:r>
          </w:p>
        </w:tc>
        <w:tc>
          <w:tcPr>
            <w:tcW w:w="1843" w:type="dxa"/>
            <w:shd w:val="clear" w:color="auto" w:fill="auto"/>
          </w:tcPr>
          <w:p w14:paraId="3D1B2B13"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c>
          <w:tcPr>
            <w:tcW w:w="1486" w:type="dxa"/>
            <w:shd w:val="clear" w:color="auto" w:fill="auto"/>
          </w:tcPr>
          <w:p w14:paraId="56503BB6"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i/>
                <w:sz w:val="22"/>
                <w:szCs w:val="22"/>
                <w:lang w:eastAsia="it-IT"/>
              </w:rPr>
            </w:pPr>
          </w:p>
        </w:tc>
      </w:tr>
    </w:tbl>
    <w:p w14:paraId="1C44ADAC" w14:textId="3F19D91E" w:rsidR="004A6CE5" w:rsidRPr="004515CB" w:rsidRDefault="004A6CE5" w:rsidP="004A6CE5">
      <w:pPr>
        <w:overflowPunct w:val="0"/>
        <w:autoSpaceDE w:val="0"/>
        <w:autoSpaceDN w:val="0"/>
        <w:adjustRightInd w:val="0"/>
        <w:spacing w:after="120"/>
        <w:textAlignment w:val="baseline"/>
        <w:rPr>
          <w:rFonts w:ascii="Titillium Web" w:eastAsia="Times New Roman" w:hAnsi="Titillium Web"/>
          <w:i/>
          <w:lang w:eastAsia="it-IT"/>
        </w:rPr>
      </w:pPr>
    </w:p>
    <w:p w14:paraId="2F7AB9B8"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lang w:eastAsia="it-IT"/>
        </w:rPr>
      </w:pPr>
      <w:r w:rsidRPr="004515CB">
        <w:rPr>
          <w:rFonts w:ascii="Titillium Web" w:eastAsia="Times New Roman" w:hAnsi="Titillium Web" w:cs="Times New Roman"/>
          <w:lang w:eastAsia="it-IT"/>
        </w:rPr>
        <w:lastRenderedPageBreak/>
        <w:t>Firma digitale</w:t>
      </w:r>
      <w:r w:rsidRPr="004515CB">
        <w:rPr>
          <w:rFonts w:ascii="Titillium Web" w:eastAsia="Times New Roman" w:hAnsi="Titillium Web" w:cs="Times New Roman"/>
          <w:vertAlign w:val="superscript"/>
          <w:lang w:eastAsia="it-IT"/>
        </w:rPr>
        <w:footnoteReference w:id="1"/>
      </w:r>
      <w:r w:rsidRPr="004515CB">
        <w:rPr>
          <w:rFonts w:ascii="Titillium Web" w:eastAsia="Times New Roman" w:hAnsi="Titillium Web" w:cs="Times New Roman"/>
          <w:lang w:eastAsia="it-IT"/>
        </w:rPr>
        <w:t xml:space="preserve"> del legale rappresentante/procuratore</w:t>
      </w:r>
      <w:bookmarkStart w:id="0" w:name="_Ref41906052"/>
      <w:r w:rsidRPr="004515CB">
        <w:rPr>
          <w:rFonts w:ascii="Titillium Web" w:eastAsia="Times New Roman" w:hAnsi="Titillium Web" w:cs="Times New Roman"/>
          <w:vertAlign w:val="superscript"/>
          <w:lang w:eastAsia="it-IT"/>
        </w:rPr>
        <w:footnoteReference w:id="2"/>
      </w:r>
      <w:bookmarkEnd w:id="0"/>
    </w:p>
    <w:p w14:paraId="5DAB390D" w14:textId="77777777" w:rsidR="004A6CE5" w:rsidRPr="004515CB" w:rsidRDefault="004A6CE5" w:rsidP="004A6CE5">
      <w:pPr>
        <w:overflowPunct w:val="0"/>
        <w:autoSpaceDE w:val="0"/>
        <w:autoSpaceDN w:val="0"/>
        <w:adjustRightInd w:val="0"/>
        <w:spacing w:after="120"/>
        <w:textAlignment w:val="baseline"/>
        <w:rPr>
          <w:rFonts w:ascii="Titillium Web" w:eastAsia="Times New Roman" w:hAnsi="Titillium Web"/>
          <w:i/>
          <w:lang w:eastAsia="it-IT"/>
        </w:rPr>
      </w:pPr>
    </w:p>
    <w:p w14:paraId="49A6A78E" w14:textId="77777777" w:rsidR="004A6CE5" w:rsidRPr="004515CB" w:rsidRDefault="004A6CE5" w:rsidP="004A6CE5">
      <w:pPr>
        <w:overflowPunct w:val="0"/>
        <w:autoSpaceDE w:val="0"/>
        <w:autoSpaceDN w:val="0"/>
        <w:adjustRightInd w:val="0"/>
        <w:spacing w:after="120"/>
        <w:jc w:val="center"/>
        <w:textAlignment w:val="baseline"/>
        <w:rPr>
          <w:rFonts w:ascii="Titillium Web" w:eastAsia="Times New Roman" w:hAnsi="Titillium Web" w:cs="Times New Roman"/>
          <w:sz w:val="22"/>
          <w:szCs w:val="22"/>
          <w:lang w:eastAsia="it-IT"/>
        </w:rPr>
      </w:pPr>
    </w:p>
    <w:p w14:paraId="2D00DE1C" w14:textId="77777777" w:rsidR="004A6CE5" w:rsidRPr="004515CB" w:rsidRDefault="004A6CE5" w:rsidP="004A6CE5">
      <w:pPr>
        <w:overflowPunct w:val="0"/>
        <w:autoSpaceDE w:val="0"/>
        <w:autoSpaceDN w:val="0"/>
        <w:adjustRightInd w:val="0"/>
        <w:spacing w:after="120"/>
        <w:jc w:val="both"/>
        <w:textAlignment w:val="baseline"/>
        <w:rPr>
          <w:rFonts w:ascii="Titillium Web" w:eastAsia="Times New Roman" w:hAnsi="Titillium Web" w:cs="Times New Roman"/>
          <w:b/>
          <w:sz w:val="22"/>
          <w:szCs w:val="22"/>
          <w:lang w:eastAsia="it-IT"/>
        </w:rPr>
      </w:pPr>
    </w:p>
    <w:p w14:paraId="62BE1452" w14:textId="0C9EE351" w:rsidR="00AC554D" w:rsidRPr="004515CB" w:rsidRDefault="00AC554D" w:rsidP="004A6CE5">
      <w:pPr>
        <w:spacing w:line="360" w:lineRule="auto"/>
        <w:jc w:val="both"/>
        <w:rPr>
          <w:rFonts w:ascii="Titillium Web" w:eastAsia="Times New Roman" w:hAnsi="Titillium Web" w:cs="Open Sans"/>
          <w:color w:val="000000"/>
          <w:sz w:val="21"/>
          <w:szCs w:val="21"/>
          <w:shd w:val="clear" w:color="auto" w:fill="FFFFFF"/>
          <w:lang w:eastAsia="it-IT"/>
        </w:rPr>
      </w:pPr>
    </w:p>
    <w:p w14:paraId="46834DAD" w14:textId="4B1A4881" w:rsidR="001C0DB1" w:rsidRPr="004515CB" w:rsidRDefault="001C0DB1" w:rsidP="004A6CE5">
      <w:pPr>
        <w:spacing w:line="360" w:lineRule="auto"/>
        <w:jc w:val="both"/>
        <w:rPr>
          <w:rFonts w:ascii="Titillium Web" w:eastAsia="Times New Roman" w:hAnsi="Titillium Web" w:cs="Open Sans"/>
          <w:color w:val="000000"/>
          <w:sz w:val="21"/>
          <w:szCs w:val="21"/>
          <w:shd w:val="clear" w:color="auto" w:fill="FFFFFF"/>
          <w:lang w:eastAsia="it-IT"/>
        </w:rPr>
      </w:pPr>
    </w:p>
    <w:p w14:paraId="4A5C5341" w14:textId="5C32D0AD" w:rsidR="001C0DB1" w:rsidRPr="004515CB" w:rsidRDefault="001C0DB1" w:rsidP="004A6CE5">
      <w:pPr>
        <w:spacing w:line="360" w:lineRule="auto"/>
        <w:jc w:val="both"/>
        <w:rPr>
          <w:rFonts w:ascii="Titillium Web" w:eastAsia="Times New Roman" w:hAnsi="Titillium Web" w:cs="Open Sans"/>
          <w:color w:val="000000"/>
          <w:sz w:val="21"/>
          <w:szCs w:val="21"/>
          <w:shd w:val="clear" w:color="auto" w:fill="FFFFFF"/>
          <w:lang w:eastAsia="it-IT"/>
        </w:rPr>
      </w:pPr>
    </w:p>
    <w:p w14:paraId="247C63F3" w14:textId="1E75B862" w:rsidR="001C0DB1" w:rsidRPr="004515CB" w:rsidRDefault="001C0DB1" w:rsidP="004A6CE5">
      <w:pPr>
        <w:spacing w:line="360" w:lineRule="auto"/>
        <w:jc w:val="both"/>
        <w:rPr>
          <w:rFonts w:ascii="Titillium Web" w:eastAsia="Times New Roman" w:hAnsi="Titillium Web" w:cs="Open Sans"/>
          <w:color w:val="000000"/>
          <w:sz w:val="21"/>
          <w:szCs w:val="21"/>
          <w:shd w:val="clear" w:color="auto" w:fill="FFFFFF"/>
          <w:lang w:eastAsia="it-IT"/>
        </w:rPr>
      </w:pPr>
    </w:p>
    <w:tbl>
      <w:tblPr>
        <w:tblStyle w:val="Grigliatabella"/>
        <w:tblW w:w="0" w:type="auto"/>
        <w:tblLook w:val="04A0" w:firstRow="1" w:lastRow="0" w:firstColumn="1" w:lastColumn="0" w:noHBand="0" w:noVBand="1"/>
      </w:tblPr>
      <w:tblGrid>
        <w:gridCol w:w="9628"/>
      </w:tblGrid>
      <w:tr w:rsidR="001C0DB1" w:rsidRPr="004515CB" w14:paraId="5FB3E82C" w14:textId="77777777" w:rsidTr="00442A17">
        <w:tc>
          <w:tcPr>
            <w:tcW w:w="9628" w:type="dxa"/>
          </w:tcPr>
          <w:p w14:paraId="13E34307"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b/>
                <w:szCs w:val="20"/>
                <w:u w:val="single"/>
              </w:rPr>
            </w:pPr>
            <w:r w:rsidRPr="004515CB">
              <w:rPr>
                <w:rFonts w:ascii="Titillium Web" w:hAnsi="Titillium Web"/>
                <w:b/>
                <w:szCs w:val="20"/>
                <w:u w:val="single"/>
              </w:rPr>
              <w:t>APPENDICE: VINCOLI DNSH</w:t>
            </w:r>
          </w:p>
          <w:p w14:paraId="108F2735"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b/>
                <w:szCs w:val="20"/>
              </w:rPr>
            </w:pPr>
            <w:r w:rsidRPr="004515CB">
              <w:rPr>
                <w:rFonts w:ascii="Titillium Web" w:hAnsi="Titillium Web"/>
                <w:b/>
                <w:szCs w:val="20"/>
              </w:rPr>
              <w:t xml:space="preserve">Obiettivo: </w:t>
            </w:r>
            <w:r w:rsidRPr="004515CB">
              <w:rPr>
                <w:rFonts w:ascii="Titillium Web" w:hAnsi="Titillium Web"/>
                <w:b/>
                <w:szCs w:val="20"/>
                <w:u w:val="single"/>
              </w:rPr>
              <w:t>Mitigazione del cambiamento climatico</w:t>
            </w:r>
          </w:p>
          <w:p w14:paraId="5EDFD08D"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b/>
                <w:szCs w:val="20"/>
              </w:rPr>
            </w:pPr>
            <w:r w:rsidRPr="004515CB">
              <w:rPr>
                <w:rFonts w:ascii="Titillium Web" w:hAnsi="Titillium Web"/>
                <w:b/>
                <w:szCs w:val="20"/>
              </w:rPr>
              <w:t xml:space="preserve">Criticità: </w:t>
            </w:r>
            <w:r w:rsidRPr="004515CB">
              <w:rPr>
                <w:rFonts w:ascii="Titillium Web" w:hAnsi="Titillium Web"/>
                <w:szCs w:val="20"/>
              </w:rPr>
              <w:t>Inefficienza energetica di prodotti elettronici di per sé molto energivore con conseguente produzione di emissioni di gas climalteranti.</w:t>
            </w:r>
          </w:p>
          <w:p w14:paraId="4B50A92F"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i/>
                <w:szCs w:val="20"/>
              </w:rPr>
            </w:pPr>
            <w:r w:rsidRPr="004515CB">
              <w:rPr>
                <w:rFonts w:ascii="Titillium Web" w:hAnsi="Titillium Web"/>
                <w:i/>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7077427E"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szCs w:val="20"/>
              </w:rPr>
            </w:pPr>
            <w:r w:rsidRPr="004515CB">
              <w:rPr>
                <w:rFonts w:ascii="Titillium Web" w:hAnsi="Titillium Web"/>
                <w:i/>
                <w:iCs/>
                <w:szCs w:val="20"/>
              </w:rPr>
              <w:t xml:space="preserve">Elementi di verifica ex ante </w:t>
            </w:r>
          </w:p>
          <w:p w14:paraId="2A3ED47C" w14:textId="77777777" w:rsidR="001C0DB1" w:rsidRPr="004515CB" w:rsidRDefault="001C0DB1" w:rsidP="001C0DB1">
            <w:pPr>
              <w:numPr>
                <w:ilvl w:val="0"/>
                <w:numId w:val="1"/>
              </w:numPr>
              <w:overflowPunct w:val="0"/>
              <w:autoSpaceDE w:val="0"/>
              <w:autoSpaceDN w:val="0"/>
              <w:adjustRightInd w:val="0"/>
              <w:spacing w:after="120" w:line="276" w:lineRule="auto"/>
              <w:jc w:val="both"/>
              <w:textAlignment w:val="baseline"/>
              <w:rPr>
                <w:rFonts w:ascii="Titillium Web" w:hAnsi="Titillium Web"/>
                <w:szCs w:val="20"/>
              </w:rPr>
            </w:pPr>
            <w:r w:rsidRPr="004515CB">
              <w:rPr>
                <w:rFonts w:ascii="Titillium Web" w:hAnsi="Titillium Web"/>
                <w:szCs w:val="20"/>
              </w:rPr>
              <w:t xml:space="preserve">I prodotti elettronici acquistati sono dotati di un’etichetta ambientale di tipo I, secondo la UNI EN ISO 14024, ad esempio TCO Certified, EPEAT 2018, Blue Angel, TÜV Green Product Mark o di etichetta equivalente. </w:t>
            </w:r>
          </w:p>
          <w:p w14:paraId="476A6480"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szCs w:val="20"/>
              </w:rPr>
            </w:pPr>
            <w:r w:rsidRPr="004515CB">
              <w:rPr>
                <w:rFonts w:ascii="Titillium Web" w:hAnsi="Titillium Web"/>
                <w:szCs w:val="20"/>
              </w:rPr>
              <w:t xml:space="preserve">In alternativa è ammissibile uno dei seguenti elementi: </w:t>
            </w:r>
          </w:p>
          <w:p w14:paraId="579E58F7" w14:textId="77777777" w:rsidR="001C0DB1" w:rsidRPr="004515CB" w:rsidRDefault="001C0DB1" w:rsidP="001C0DB1">
            <w:pPr>
              <w:numPr>
                <w:ilvl w:val="0"/>
                <w:numId w:val="1"/>
              </w:numPr>
              <w:overflowPunct w:val="0"/>
              <w:autoSpaceDE w:val="0"/>
              <w:autoSpaceDN w:val="0"/>
              <w:adjustRightInd w:val="0"/>
              <w:spacing w:after="120" w:line="276" w:lineRule="auto"/>
              <w:jc w:val="both"/>
              <w:textAlignment w:val="baseline"/>
              <w:rPr>
                <w:rFonts w:ascii="Titillium Web" w:hAnsi="Titillium Web"/>
                <w:szCs w:val="20"/>
              </w:rPr>
            </w:pPr>
            <w:r w:rsidRPr="004515CB">
              <w:rPr>
                <w:rFonts w:ascii="Titillium Web" w:hAnsi="Titillium Web"/>
                <w:szCs w:val="20"/>
              </w:rPr>
              <w:t xml:space="preserve">Etichetta EPA ENERGY STAR; </w:t>
            </w:r>
          </w:p>
          <w:p w14:paraId="70C7ED18" w14:textId="77777777" w:rsidR="001C0DB1" w:rsidRPr="004515CB" w:rsidRDefault="001C0DB1" w:rsidP="001C0DB1">
            <w:pPr>
              <w:numPr>
                <w:ilvl w:val="0"/>
                <w:numId w:val="1"/>
              </w:numPr>
              <w:overflowPunct w:val="0"/>
              <w:autoSpaceDE w:val="0"/>
              <w:autoSpaceDN w:val="0"/>
              <w:adjustRightInd w:val="0"/>
              <w:spacing w:after="120" w:line="276" w:lineRule="auto"/>
              <w:jc w:val="both"/>
              <w:textAlignment w:val="baseline"/>
              <w:rPr>
                <w:rFonts w:ascii="Titillium Web" w:hAnsi="Titillium Web"/>
                <w:szCs w:val="20"/>
              </w:rPr>
            </w:pPr>
            <w:r w:rsidRPr="004515CB">
              <w:rPr>
                <w:rFonts w:ascii="Titillium Web" w:hAnsi="Titillium Web"/>
                <w:szCs w:val="20"/>
              </w:rPr>
              <w:t>Dichiarazione del produttore che attesti che il consumo tipico di energia elettrica (</w:t>
            </w:r>
            <w:proofErr w:type="spellStart"/>
            <w:r w:rsidRPr="004515CB">
              <w:rPr>
                <w:rFonts w:ascii="Titillium Web" w:hAnsi="Titillium Web"/>
                <w:szCs w:val="20"/>
              </w:rPr>
              <w:t>Etec</w:t>
            </w:r>
            <w:proofErr w:type="spellEnd"/>
            <w:r w:rsidRPr="004515CB">
              <w:rPr>
                <w:rFonts w:ascii="Titillium Web" w:hAnsi="Titillium Web"/>
                <w:szCs w:val="20"/>
              </w:rPr>
              <w:t>), calcolato per ogni dispositivo offerto, non superi il TEC massimo necessario (</w:t>
            </w:r>
            <w:proofErr w:type="spellStart"/>
            <w:r w:rsidRPr="004515CB">
              <w:rPr>
                <w:rFonts w:ascii="Titillium Web" w:hAnsi="Titillium Web"/>
                <w:szCs w:val="20"/>
              </w:rPr>
              <w:t>Etec</w:t>
            </w:r>
            <w:proofErr w:type="spellEnd"/>
            <w:r w:rsidRPr="004515CB">
              <w:rPr>
                <w:rFonts w:ascii="Titillium Web" w:hAnsi="Titillium Web"/>
                <w:szCs w:val="20"/>
              </w:rPr>
              <w:t xml:space="preserve">-max) in linea con quanto descritto nell’Allegato III dei criteri GPP UE. </w:t>
            </w:r>
          </w:p>
          <w:p w14:paraId="40DFAB1A" w14:textId="77777777" w:rsidR="001C0DB1" w:rsidRPr="004515CB" w:rsidRDefault="001C0DB1" w:rsidP="001C0DB1">
            <w:pPr>
              <w:numPr>
                <w:ilvl w:val="0"/>
                <w:numId w:val="1"/>
              </w:numPr>
              <w:overflowPunct w:val="0"/>
              <w:autoSpaceDE w:val="0"/>
              <w:autoSpaceDN w:val="0"/>
              <w:adjustRightInd w:val="0"/>
              <w:spacing w:after="120" w:line="276" w:lineRule="auto"/>
              <w:jc w:val="both"/>
              <w:textAlignment w:val="baseline"/>
              <w:rPr>
                <w:rFonts w:ascii="Titillium Web" w:hAnsi="Titillium Web"/>
                <w:szCs w:val="20"/>
              </w:rPr>
            </w:pPr>
            <w:r w:rsidRPr="004515CB">
              <w:rPr>
                <w:rFonts w:ascii="Titillium Web" w:hAnsi="Titillium Web"/>
                <w:szCs w:val="20"/>
              </w:rPr>
              <w:t xml:space="preserve">L’offerente deve assicurarsi che nel libretto d’istruzione siano comprese istruzioni che spieghino come ridurre al minimo il consumo di energia. </w:t>
            </w:r>
          </w:p>
        </w:tc>
      </w:tr>
      <w:tr w:rsidR="001C0DB1" w:rsidRPr="004515CB" w14:paraId="66EF92C1" w14:textId="77777777" w:rsidTr="00442A17">
        <w:tc>
          <w:tcPr>
            <w:tcW w:w="9628" w:type="dxa"/>
          </w:tcPr>
          <w:p w14:paraId="13DED720"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i/>
                <w:szCs w:val="20"/>
              </w:rPr>
            </w:pPr>
            <w:r w:rsidRPr="004515CB">
              <w:rPr>
                <w:rFonts w:ascii="Titillium Web" w:hAnsi="Titillium Web"/>
                <w:b/>
                <w:szCs w:val="20"/>
              </w:rPr>
              <w:t xml:space="preserve">Obiettivo: </w:t>
            </w:r>
            <w:r w:rsidRPr="004515CB">
              <w:rPr>
                <w:rFonts w:ascii="Titillium Web" w:hAnsi="Titillium Web"/>
                <w:b/>
                <w:szCs w:val="20"/>
                <w:u w:val="single"/>
              </w:rPr>
              <w:t>Adattamento ai cambiamenti climatici</w:t>
            </w:r>
            <w:r w:rsidRPr="004515CB">
              <w:rPr>
                <w:rFonts w:ascii="Titillium Web" w:hAnsi="Titillium Web"/>
                <w:b/>
                <w:szCs w:val="20"/>
              </w:rPr>
              <w:t xml:space="preserve"> </w:t>
            </w:r>
            <w:r w:rsidRPr="004515CB">
              <w:rPr>
                <w:rFonts w:ascii="Titillium Web" w:hAnsi="Titillium Web"/>
                <w:i/>
                <w:szCs w:val="20"/>
              </w:rPr>
              <w:t>(Non pertinente)</w:t>
            </w:r>
          </w:p>
        </w:tc>
      </w:tr>
      <w:tr w:rsidR="001C0DB1" w:rsidRPr="004515CB" w14:paraId="512B3401" w14:textId="77777777" w:rsidTr="00442A17">
        <w:tc>
          <w:tcPr>
            <w:tcW w:w="9628" w:type="dxa"/>
          </w:tcPr>
          <w:p w14:paraId="0FDDF5CB"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i/>
                <w:szCs w:val="20"/>
              </w:rPr>
            </w:pPr>
            <w:r w:rsidRPr="004515CB">
              <w:rPr>
                <w:rFonts w:ascii="Titillium Web" w:hAnsi="Titillium Web"/>
                <w:b/>
                <w:szCs w:val="20"/>
              </w:rPr>
              <w:t xml:space="preserve">Obiettivo: </w:t>
            </w:r>
            <w:r w:rsidRPr="004515CB">
              <w:rPr>
                <w:rFonts w:ascii="Titillium Web" w:hAnsi="Titillium Web"/>
                <w:b/>
                <w:szCs w:val="20"/>
                <w:u w:val="single"/>
              </w:rPr>
              <w:t>Uso sostenibile e protezione delle acque e delle risorse marine</w:t>
            </w:r>
            <w:r w:rsidRPr="004515CB">
              <w:rPr>
                <w:rFonts w:ascii="Titillium Web" w:hAnsi="Titillium Web"/>
                <w:b/>
                <w:szCs w:val="20"/>
              </w:rPr>
              <w:t xml:space="preserve"> </w:t>
            </w:r>
            <w:r w:rsidRPr="004515CB">
              <w:rPr>
                <w:rFonts w:ascii="Titillium Web" w:hAnsi="Titillium Web"/>
                <w:i/>
                <w:szCs w:val="20"/>
              </w:rPr>
              <w:t>(Non pertinente)</w:t>
            </w:r>
          </w:p>
        </w:tc>
      </w:tr>
      <w:tr w:rsidR="001C0DB1" w:rsidRPr="004515CB" w14:paraId="58420626" w14:textId="77777777" w:rsidTr="00442A17">
        <w:tc>
          <w:tcPr>
            <w:tcW w:w="9628" w:type="dxa"/>
          </w:tcPr>
          <w:p w14:paraId="0176DA3E"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b/>
                <w:szCs w:val="20"/>
                <w:u w:val="single"/>
              </w:rPr>
            </w:pPr>
            <w:r w:rsidRPr="004515CB">
              <w:rPr>
                <w:rFonts w:ascii="Titillium Web" w:hAnsi="Titillium Web"/>
                <w:b/>
                <w:szCs w:val="20"/>
              </w:rPr>
              <w:t xml:space="preserve">Obiettivo: </w:t>
            </w:r>
            <w:r w:rsidRPr="004515CB">
              <w:rPr>
                <w:rFonts w:ascii="Titillium Web" w:hAnsi="Titillium Web"/>
                <w:b/>
                <w:szCs w:val="20"/>
                <w:u w:val="single"/>
              </w:rPr>
              <w:t>Economia circolare</w:t>
            </w:r>
          </w:p>
          <w:p w14:paraId="479F21C3"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szCs w:val="20"/>
              </w:rPr>
            </w:pPr>
            <w:r w:rsidRPr="004515CB">
              <w:rPr>
                <w:rFonts w:ascii="Titillium Web" w:hAnsi="Titillium Web"/>
                <w:b/>
                <w:szCs w:val="20"/>
              </w:rPr>
              <w:lastRenderedPageBreak/>
              <w:t xml:space="preserve">Criticità: </w:t>
            </w:r>
            <w:r w:rsidRPr="004515CB">
              <w:rPr>
                <w:rFonts w:ascii="Titillium Web" w:hAnsi="Titillium Web"/>
                <w:szCs w:val="20"/>
              </w:rPr>
              <w:t>I materiali delle componenti utilizzate per la realizzazione del prodotto risultano difficilmente riciclabili; eccessiva produzione di rifiuti e gestione inefficiente degli stessi.</w:t>
            </w:r>
          </w:p>
          <w:p w14:paraId="3EDF1A3F"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i/>
                <w:szCs w:val="20"/>
              </w:rPr>
            </w:pPr>
            <w:r w:rsidRPr="004515CB">
              <w:rPr>
                <w:rFonts w:ascii="Titillium Web" w:hAnsi="Titillium Web"/>
                <w:i/>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FFEB11D"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szCs w:val="20"/>
              </w:rPr>
            </w:pPr>
            <w:r w:rsidRPr="004515CB">
              <w:rPr>
                <w:rFonts w:ascii="Titillium Web" w:hAnsi="Titillium Web"/>
                <w:i/>
                <w:iCs/>
                <w:szCs w:val="20"/>
              </w:rPr>
              <w:t xml:space="preserve">Elementi di verifica ex-ante </w:t>
            </w:r>
          </w:p>
          <w:p w14:paraId="38DD714A" w14:textId="77777777" w:rsidR="001C0DB1" w:rsidRPr="004515CB" w:rsidRDefault="001C0DB1" w:rsidP="001C0DB1">
            <w:pPr>
              <w:numPr>
                <w:ilvl w:val="0"/>
                <w:numId w:val="1"/>
              </w:numPr>
              <w:overflowPunct w:val="0"/>
              <w:autoSpaceDE w:val="0"/>
              <w:autoSpaceDN w:val="0"/>
              <w:adjustRightInd w:val="0"/>
              <w:spacing w:after="120" w:line="276" w:lineRule="auto"/>
              <w:jc w:val="both"/>
              <w:textAlignment w:val="baseline"/>
              <w:rPr>
                <w:rFonts w:ascii="Titillium Web" w:hAnsi="Titillium Web"/>
                <w:szCs w:val="20"/>
              </w:rPr>
            </w:pPr>
            <w:r w:rsidRPr="004515CB">
              <w:rPr>
                <w:rFonts w:ascii="Titillium Web" w:hAnsi="Titillium Web"/>
                <w:szCs w:val="20"/>
              </w:rPr>
              <w:t xml:space="preserve">Iscrizione alla piattaforma RAEE in qualità di produttore e/o distributore e/o fornitore; </w:t>
            </w:r>
          </w:p>
          <w:p w14:paraId="224FEFDD" w14:textId="77777777" w:rsidR="001C0DB1" w:rsidRPr="004515CB" w:rsidRDefault="001C0DB1" w:rsidP="001C0DB1">
            <w:pPr>
              <w:numPr>
                <w:ilvl w:val="0"/>
                <w:numId w:val="1"/>
              </w:numPr>
              <w:overflowPunct w:val="0"/>
              <w:autoSpaceDE w:val="0"/>
              <w:autoSpaceDN w:val="0"/>
              <w:adjustRightInd w:val="0"/>
              <w:spacing w:after="120" w:line="276" w:lineRule="auto"/>
              <w:jc w:val="both"/>
              <w:textAlignment w:val="baseline"/>
              <w:rPr>
                <w:rFonts w:ascii="Titillium Web" w:hAnsi="Titillium Web"/>
                <w:szCs w:val="20"/>
              </w:rPr>
            </w:pPr>
            <w:r w:rsidRPr="004515CB">
              <w:rPr>
                <w:rFonts w:ascii="Titillium Web" w:hAnsi="Titillium Web"/>
                <w:szCs w:val="20"/>
              </w:rPr>
              <w:t xml:space="preserve">Etichetta ambientale di tipo I, secondo la UNI EN ISO 14024, che verifichi l’allineamento con il principio di non arrecare danno significativo all’economia circolare (es: EPEAT, Blauer Engel, TCO Certified o altra etichetta equivalente). </w:t>
            </w:r>
          </w:p>
          <w:p w14:paraId="6FB1ABCD"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szCs w:val="20"/>
              </w:rPr>
            </w:pPr>
            <w:r w:rsidRPr="004515CB">
              <w:rPr>
                <w:rFonts w:ascii="Titillium Web" w:hAnsi="Titillium Web"/>
                <w:b/>
                <w:bCs/>
                <w:szCs w:val="20"/>
              </w:rPr>
              <w:t xml:space="preserve">In assenza di tale etichetta, è richiesto l’elemento di verifica seguente: </w:t>
            </w:r>
          </w:p>
          <w:p w14:paraId="0E18D25C" w14:textId="77777777" w:rsidR="001C0DB1" w:rsidRPr="004515CB" w:rsidRDefault="001C0DB1" w:rsidP="001C0DB1">
            <w:pPr>
              <w:numPr>
                <w:ilvl w:val="0"/>
                <w:numId w:val="1"/>
              </w:numPr>
              <w:overflowPunct w:val="0"/>
              <w:autoSpaceDE w:val="0"/>
              <w:autoSpaceDN w:val="0"/>
              <w:adjustRightInd w:val="0"/>
              <w:spacing w:after="120" w:line="276" w:lineRule="auto"/>
              <w:jc w:val="both"/>
              <w:textAlignment w:val="baseline"/>
              <w:rPr>
                <w:rFonts w:ascii="Titillium Web" w:hAnsi="Titillium Web"/>
                <w:szCs w:val="20"/>
              </w:rPr>
            </w:pPr>
            <w:r w:rsidRPr="004515CB">
              <w:rPr>
                <w:rFonts w:ascii="Titillium Web" w:hAnsi="Titillium Web"/>
                <w:szCs w:val="20"/>
              </w:rPr>
              <w:t xml:space="preserve">Nel caso di server e prodotti di archiviazioni dati, dichiarazione dei produttori/fornitori di conformità alla seguente normativa: ecodesign (Regolamento (EU) 2019/424); </w:t>
            </w:r>
          </w:p>
          <w:p w14:paraId="694AC2B3" w14:textId="77777777" w:rsidR="001C0DB1" w:rsidRPr="004515CB" w:rsidRDefault="001C0DB1" w:rsidP="001C0DB1">
            <w:pPr>
              <w:numPr>
                <w:ilvl w:val="0"/>
                <w:numId w:val="1"/>
              </w:numPr>
              <w:overflowPunct w:val="0"/>
              <w:autoSpaceDE w:val="0"/>
              <w:autoSpaceDN w:val="0"/>
              <w:adjustRightInd w:val="0"/>
              <w:spacing w:after="120" w:line="276" w:lineRule="auto"/>
              <w:jc w:val="both"/>
              <w:textAlignment w:val="baseline"/>
              <w:rPr>
                <w:rFonts w:ascii="Titillium Web" w:hAnsi="Titillium Web"/>
                <w:szCs w:val="20"/>
              </w:rPr>
            </w:pPr>
            <w:r w:rsidRPr="004515CB">
              <w:rPr>
                <w:rFonts w:ascii="Titillium Web" w:hAnsi="Titillium Web"/>
                <w:szCs w:val="20"/>
              </w:rPr>
              <w:t xml:space="preserve">Nel caso di computer fissi e display, marcatura di alloggiamenti e mascherine di plastica secondo gli standard ISO 11469 e ISO 1043. </w:t>
            </w:r>
          </w:p>
          <w:p w14:paraId="741C3E77"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szCs w:val="20"/>
              </w:rPr>
            </w:pPr>
            <w:r w:rsidRPr="004515CB">
              <w:rPr>
                <w:rFonts w:ascii="Titillium Web" w:hAnsi="Titillium Web"/>
                <w:szCs w:val="20"/>
              </w:rPr>
              <w:t xml:space="preserve">Nel caso di fornitura di </w:t>
            </w:r>
            <w:r w:rsidRPr="004515CB">
              <w:rPr>
                <w:rFonts w:ascii="Titillium Web" w:hAnsi="Titillium Web"/>
                <w:b/>
                <w:bCs/>
                <w:szCs w:val="20"/>
              </w:rPr>
              <w:t xml:space="preserve">apparecchiature TIC ricondizionate/rifabbricate </w:t>
            </w:r>
            <w:r w:rsidRPr="004515CB">
              <w:rPr>
                <w:rFonts w:ascii="Titillium Web" w:hAnsi="Titillium Web"/>
                <w:szCs w:val="20"/>
              </w:rPr>
              <w:t xml:space="preserve">dovrà essere fornita una delle certificazioni di sistema di gestione seguente: </w:t>
            </w:r>
          </w:p>
          <w:p w14:paraId="7A955B94" w14:textId="77777777" w:rsidR="001C0DB1" w:rsidRPr="004515CB" w:rsidRDefault="001C0DB1" w:rsidP="001C0DB1">
            <w:pPr>
              <w:numPr>
                <w:ilvl w:val="0"/>
                <w:numId w:val="1"/>
              </w:numPr>
              <w:overflowPunct w:val="0"/>
              <w:autoSpaceDE w:val="0"/>
              <w:autoSpaceDN w:val="0"/>
              <w:adjustRightInd w:val="0"/>
              <w:spacing w:after="120" w:line="276" w:lineRule="auto"/>
              <w:jc w:val="both"/>
              <w:textAlignment w:val="baseline"/>
              <w:rPr>
                <w:rFonts w:ascii="Titillium Web" w:hAnsi="Titillium Web"/>
                <w:szCs w:val="20"/>
              </w:rPr>
            </w:pPr>
            <w:r w:rsidRPr="004515CB">
              <w:rPr>
                <w:rFonts w:ascii="Titillium Web" w:hAnsi="Titillium Web"/>
                <w:szCs w:val="20"/>
              </w:rPr>
              <w:t xml:space="preserve">ISO 9001 e ISO 14001/regolamento EMAS (certificazione di sistema di gestione disponibile sotto accreditamento – il campo di applicazione della certificazione dovrà riportare lo specifico scopo richiesto); </w:t>
            </w:r>
          </w:p>
          <w:p w14:paraId="4EE742D0" w14:textId="77777777" w:rsidR="001C0DB1" w:rsidRPr="004515CB" w:rsidRDefault="001C0DB1" w:rsidP="001C0DB1">
            <w:pPr>
              <w:numPr>
                <w:ilvl w:val="0"/>
                <w:numId w:val="1"/>
              </w:numPr>
              <w:overflowPunct w:val="0"/>
              <w:autoSpaceDE w:val="0"/>
              <w:autoSpaceDN w:val="0"/>
              <w:adjustRightInd w:val="0"/>
              <w:spacing w:after="120" w:line="276" w:lineRule="auto"/>
              <w:jc w:val="both"/>
              <w:textAlignment w:val="baseline"/>
              <w:rPr>
                <w:rFonts w:ascii="Titillium Web" w:hAnsi="Titillium Web"/>
                <w:szCs w:val="20"/>
              </w:rPr>
            </w:pPr>
            <w:r w:rsidRPr="004515CB">
              <w:rPr>
                <w:rFonts w:ascii="Titillium Web" w:hAnsi="Titillium Web"/>
                <w:szCs w:val="20"/>
              </w:rPr>
              <w:t xml:space="preserve">EN 50614:2020 (qualora l'apparecchiatura sia stata precedentemente scartata come rifiuto RAEE, e preparata per il riutilizzo per lo stesso scopo per cui è stata concepita). </w:t>
            </w:r>
          </w:p>
          <w:p w14:paraId="18FAFDC1" w14:textId="77777777" w:rsidR="001C0DB1" w:rsidRPr="004515CB" w:rsidRDefault="001C0DB1" w:rsidP="001C0DB1">
            <w:pPr>
              <w:numPr>
                <w:ilvl w:val="0"/>
                <w:numId w:val="1"/>
              </w:numPr>
              <w:overflowPunct w:val="0"/>
              <w:autoSpaceDE w:val="0"/>
              <w:autoSpaceDN w:val="0"/>
              <w:adjustRightInd w:val="0"/>
              <w:spacing w:after="120" w:line="276" w:lineRule="auto"/>
              <w:jc w:val="both"/>
              <w:textAlignment w:val="baseline"/>
              <w:rPr>
                <w:rFonts w:ascii="Titillium Web" w:hAnsi="Titillium Web"/>
                <w:szCs w:val="20"/>
              </w:rPr>
            </w:pPr>
            <w:r w:rsidRPr="004515CB">
              <w:rPr>
                <w:rFonts w:ascii="Titillium Web" w:hAnsi="Titillium Web"/>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6FE5A6EF" w14:textId="77777777" w:rsidR="001C0DB1" w:rsidRPr="004515CB" w:rsidRDefault="001C0DB1" w:rsidP="001C0DB1">
            <w:pPr>
              <w:numPr>
                <w:ilvl w:val="0"/>
                <w:numId w:val="1"/>
              </w:numPr>
              <w:overflowPunct w:val="0"/>
              <w:autoSpaceDE w:val="0"/>
              <w:autoSpaceDN w:val="0"/>
              <w:adjustRightInd w:val="0"/>
              <w:spacing w:after="120" w:line="276" w:lineRule="auto"/>
              <w:jc w:val="both"/>
              <w:textAlignment w:val="baseline"/>
              <w:rPr>
                <w:rFonts w:ascii="Titillium Web" w:hAnsi="Titillium Web"/>
                <w:szCs w:val="20"/>
              </w:rPr>
            </w:pPr>
            <w:r w:rsidRPr="004515CB">
              <w:rPr>
                <w:rFonts w:ascii="Titillium Web" w:hAnsi="Titillium Web"/>
                <w:szCs w:val="20"/>
              </w:rPr>
              <w:t xml:space="preserve">L’offerente deve fornire raccomandazioni per un'adeguata manutenzione del prodotto, comprese informazioni sulle parti di ricambio che possono essere sostituite, consigli per la pulizia; </w:t>
            </w:r>
          </w:p>
        </w:tc>
      </w:tr>
      <w:tr w:rsidR="001C0DB1" w:rsidRPr="004515CB" w14:paraId="1F9F5DB0" w14:textId="77777777" w:rsidTr="00442A17">
        <w:tc>
          <w:tcPr>
            <w:tcW w:w="9628" w:type="dxa"/>
          </w:tcPr>
          <w:p w14:paraId="77F2CC39"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b/>
                <w:bCs/>
                <w:szCs w:val="20"/>
                <w:u w:val="single"/>
              </w:rPr>
            </w:pPr>
            <w:r w:rsidRPr="004515CB">
              <w:rPr>
                <w:rFonts w:ascii="Titillium Web" w:hAnsi="Titillium Web"/>
                <w:b/>
                <w:bCs/>
                <w:szCs w:val="20"/>
              </w:rPr>
              <w:lastRenderedPageBreak/>
              <w:t xml:space="preserve">Obiettivo: </w:t>
            </w:r>
            <w:r w:rsidRPr="004515CB">
              <w:rPr>
                <w:rFonts w:ascii="Titillium Web" w:hAnsi="Titillium Web"/>
                <w:b/>
                <w:bCs/>
                <w:szCs w:val="20"/>
                <w:u w:val="single"/>
              </w:rPr>
              <w:t>Prevenzione e riduzione dell’inquinamento</w:t>
            </w:r>
          </w:p>
          <w:p w14:paraId="3891A08B"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bCs/>
                <w:szCs w:val="20"/>
              </w:rPr>
            </w:pPr>
            <w:r w:rsidRPr="004515CB">
              <w:rPr>
                <w:rFonts w:ascii="Titillium Web" w:hAnsi="Titillium Web"/>
                <w:b/>
                <w:bCs/>
                <w:szCs w:val="20"/>
              </w:rPr>
              <w:t>Criticità:</w:t>
            </w:r>
            <w:r w:rsidRPr="004515CB">
              <w:rPr>
                <w:rFonts w:ascii="Titillium Web" w:hAnsi="Titillium Web"/>
                <w:bCs/>
                <w:szCs w:val="20"/>
              </w:rPr>
              <w:t xml:space="preserve"> I materiali delle componenti utilizzate per la realizzazione del prodotto contengono sostanze inquinanti</w:t>
            </w:r>
          </w:p>
          <w:p w14:paraId="45C8B575"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i/>
                <w:szCs w:val="20"/>
              </w:rPr>
            </w:pPr>
            <w:r w:rsidRPr="004515CB">
              <w:rPr>
                <w:rFonts w:ascii="Titillium Web" w:hAnsi="Titillium Web"/>
                <w:i/>
                <w:szCs w:val="20"/>
              </w:rPr>
              <w:t>Nella costruzione non potranno essere utilizzati componenti, prodotti e materiali contenenti sostanze estremamente preoccupanti.</w:t>
            </w:r>
          </w:p>
          <w:p w14:paraId="3FE635DA"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szCs w:val="20"/>
              </w:rPr>
            </w:pPr>
            <w:r w:rsidRPr="004515CB">
              <w:rPr>
                <w:rFonts w:ascii="Titillium Web" w:hAnsi="Titillium Web"/>
                <w:i/>
                <w:iCs/>
                <w:szCs w:val="20"/>
              </w:rPr>
              <w:t xml:space="preserve">Elementi di verifica ex-ante </w:t>
            </w:r>
          </w:p>
          <w:p w14:paraId="7DACB8B2" w14:textId="77777777" w:rsidR="001C0DB1" w:rsidRPr="004515CB" w:rsidRDefault="001C0DB1" w:rsidP="001C0DB1">
            <w:pPr>
              <w:numPr>
                <w:ilvl w:val="0"/>
                <w:numId w:val="1"/>
              </w:numPr>
              <w:overflowPunct w:val="0"/>
              <w:autoSpaceDE w:val="0"/>
              <w:autoSpaceDN w:val="0"/>
              <w:adjustRightInd w:val="0"/>
              <w:spacing w:after="120" w:line="276" w:lineRule="auto"/>
              <w:jc w:val="both"/>
              <w:textAlignment w:val="baseline"/>
              <w:rPr>
                <w:rFonts w:ascii="Titillium Web" w:hAnsi="Titillium Web"/>
                <w:szCs w:val="20"/>
              </w:rPr>
            </w:pPr>
            <w:r w:rsidRPr="004515CB">
              <w:rPr>
                <w:rFonts w:ascii="Titillium Web" w:hAnsi="Titillium Web"/>
                <w:szCs w:val="20"/>
              </w:rPr>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66366FF6"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szCs w:val="20"/>
              </w:rPr>
            </w:pPr>
            <w:r w:rsidRPr="004515CB">
              <w:rPr>
                <w:rFonts w:ascii="Titillium Web" w:hAnsi="Titillium Web"/>
                <w:b/>
                <w:bCs/>
                <w:szCs w:val="20"/>
              </w:rPr>
              <w:t xml:space="preserve">In assenza di tale etichetta, sono richieste: </w:t>
            </w:r>
          </w:p>
          <w:p w14:paraId="51720E67" w14:textId="77777777" w:rsidR="001C0DB1" w:rsidRPr="004515CB" w:rsidRDefault="001C0DB1" w:rsidP="001C0DB1">
            <w:pPr>
              <w:numPr>
                <w:ilvl w:val="0"/>
                <w:numId w:val="1"/>
              </w:numPr>
              <w:overflowPunct w:val="0"/>
              <w:autoSpaceDE w:val="0"/>
              <w:autoSpaceDN w:val="0"/>
              <w:adjustRightInd w:val="0"/>
              <w:spacing w:after="120" w:line="276" w:lineRule="auto"/>
              <w:jc w:val="both"/>
              <w:textAlignment w:val="baseline"/>
              <w:rPr>
                <w:rFonts w:ascii="Titillium Web" w:hAnsi="Titillium Web"/>
                <w:szCs w:val="20"/>
              </w:rPr>
            </w:pPr>
            <w:r w:rsidRPr="004515CB">
              <w:rPr>
                <w:rFonts w:ascii="Titillium Web" w:hAnsi="Titillium Web"/>
                <w:szCs w:val="20"/>
              </w:rPr>
              <w:lastRenderedPageBreak/>
              <w:t xml:space="preserve">La conformità delle apparecchiature è verificata tramite una dichiarazione del produttore/fornitore di rispetto della seguente normativa: REACH (Regolamento (CE) n.1907/2006); </w:t>
            </w:r>
            <w:proofErr w:type="spellStart"/>
            <w:r w:rsidRPr="004515CB">
              <w:rPr>
                <w:rFonts w:ascii="Titillium Web" w:hAnsi="Titillium Web"/>
                <w:szCs w:val="20"/>
              </w:rPr>
              <w:t>RoHS</w:t>
            </w:r>
            <w:proofErr w:type="spellEnd"/>
            <w:r w:rsidRPr="004515CB">
              <w:rPr>
                <w:rFonts w:ascii="Titillium Web" w:hAnsi="Titillium Web"/>
                <w:szCs w:val="20"/>
              </w:rPr>
              <w:t xml:space="preserve"> (Direttiva 2011/65/EU e </w:t>
            </w:r>
            <w:proofErr w:type="spellStart"/>
            <w:r w:rsidRPr="004515CB">
              <w:rPr>
                <w:rFonts w:ascii="Titillium Web" w:hAnsi="Titillium Web"/>
                <w:szCs w:val="20"/>
              </w:rPr>
              <w:t>s.m.i.</w:t>
            </w:r>
            <w:proofErr w:type="spellEnd"/>
            <w:r w:rsidRPr="004515CB">
              <w:rPr>
                <w:rFonts w:ascii="Titillium Web" w:hAnsi="Titillium Web"/>
                <w:szCs w:val="20"/>
              </w:rPr>
              <w:t xml:space="preserve">); Compatibilità elettromagnetica (Direttiva 2014/30/UE e </w:t>
            </w:r>
            <w:proofErr w:type="spellStart"/>
            <w:r w:rsidRPr="004515CB">
              <w:rPr>
                <w:rFonts w:ascii="Titillium Web" w:hAnsi="Titillium Web"/>
                <w:szCs w:val="20"/>
              </w:rPr>
              <w:t>s.m.i.</w:t>
            </w:r>
            <w:proofErr w:type="spellEnd"/>
            <w:r w:rsidRPr="004515CB">
              <w:rPr>
                <w:rFonts w:ascii="Titillium Web" w:hAnsi="Titillium Web"/>
                <w:szCs w:val="20"/>
              </w:rPr>
              <w:t xml:space="preserve">) </w:t>
            </w:r>
          </w:p>
        </w:tc>
      </w:tr>
      <w:tr w:rsidR="001C0DB1" w:rsidRPr="004515CB" w14:paraId="23C161FE" w14:textId="77777777" w:rsidTr="00442A17">
        <w:tc>
          <w:tcPr>
            <w:tcW w:w="9628" w:type="dxa"/>
          </w:tcPr>
          <w:p w14:paraId="3FD9DB5D" w14:textId="77777777" w:rsidR="001C0DB1" w:rsidRPr="004515CB" w:rsidRDefault="001C0DB1" w:rsidP="001C0DB1">
            <w:pPr>
              <w:overflowPunct w:val="0"/>
              <w:autoSpaceDE w:val="0"/>
              <w:autoSpaceDN w:val="0"/>
              <w:adjustRightInd w:val="0"/>
              <w:spacing w:after="120"/>
              <w:jc w:val="both"/>
              <w:textAlignment w:val="baseline"/>
              <w:rPr>
                <w:rFonts w:ascii="Titillium Web" w:hAnsi="Titillium Web"/>
                <w:i/>
                <w:szCs w:val="20"/>
              </w:rPr>
            </w:pPr>
            <w:r w:rsidRPr="004515CB">
              <w:rPr>
                <w:rFonts w:ascii="Titillium Web" w:hAnsi="Titillium Web"/>
                <w:b/>
                <w:szCs w:val="20"/>
              </w:rPr>
              <w:lastRenderedPageBreak/>
              <w:t xml:space="preserve">Obiettivo: </w:t>
            </w:r>
            <w:r w:rsidRPr="004515CB">
              <w:rPr>
                <w:rFonts w:ascii="Titillium Web" w:hAnsi="Titillium Web"/>
                <w:b/>
                <w:szCs w:val="20"/>
                <w:u w:val="single"/>
              </w:rPr>
              <w:t>Protezione e ripristino della biodiversità e degli Ecosistemi</w:t>
            </w:r>
            <w:r w:rsidRPr="004515CB">
              <w:rPr>
                <w:rFonts w:ascii="Titillium Web" w:hAnsi="Titillium Web"/>
                <w:b/>
                <w:szCs w:val="20"/>
              </w:rPr>
              <w:t xml:space="preserve"> </w:t>
            </w:r>
            <w:r w:rsidRPr="004515CB">
              <w:rPr>
                <w:rFonts w:ascii="Titillium Web" w:hAnsi="Titillium Web"/>
                <w:i/>
                <w:szCs w:val="20"/>
              </w:rPr>
              <w:t>(Non pertinente)</w:t>
            </w:r>
          </w:p>
        </w:tc>
      </w:tr>
    </w:tbl>
    <w:p w14:paraId="252F5AC6" w14:textId="77777777" w:rsidR="001C0DB1" w:rsidRPr="004515CB" w:rsidRDefault="001C0DB1" w:rsidP="004A6CE5">
      <w:pPr>
        <w:spacing w:line="360" w:lineRule="auto"/>
        <w:jc w:val="both"/>
        <w:rPr>
          <w:rFonts w:ascii="Titillium Web" w:eastAsia="Times New Roman" w:hAnsi="Titillium Web" w:cs="Open Sans"/>
          <w:color w:val="000000"/>
          <w:sz w:val="21"/>
          <w:szCs w:val="21"/>
          <w:shd w:val="clear" w:color="auto" w:fill="FFFFFF"/>
          <w:lang w:eastAsia="it-IT"/>
        </w:rPr>
      </w:pPr>
    </w:p>
    <w:sectPr w:rsidR="001C0DB1" w:rsidRPr="004515CB" w:rsidSect="000665B5">
      <w:headerReference w:type="even" r:id="rId10"/>
      <w:headerReference w:type="default" r:id="rId11"/>
      <w:footerReference w:type="even" r:id="rId12"/>
      <w:footerReference w:type="default" r:id="rId13"/>
      <w:headerReference w:type="first" r:id="rId14"/>
      <w:footerReference w:type="first" r:id="rId15"/>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C8276" w14:textId="77777777" w:rsidR="000665B5" w:rsidRDefault="000665B5" w:rsidP="000151A3">
      <w:r>
        <w:separator/>
      </w:r>
    </w:p>
  </w:endnote>
  <w:endnote w:type="continuationSeparator" w:id="0">
    <w:p w14:paraId="219F3DFB" w14:textId="77777777" w:rsidR="000665B5" w:rsidRDefault="000665B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SemiBold">
    <w:altName w:val="Times New Roman"/>
    <w:charset w:val="00"/>
    <w:family w:val="auto"/>
    <w:pitch w:val="variable"/>
    <w:sig w:usb0="00000007" w:usb1="00000001" w:usb2="00000000" w:usb3="00000000" w:csb0="00000093" w:csb1="00000000"/>
  </w:font>
  <w:font w:name="Titillium Web">
    <w:charset w:val="00"/>
    <w:family w:val="auto"/>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DEFCA" w14:textId="77777777" w:rsidR="00581CDD" w:rsidRDefault="00581C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671E532A" w:rsidR="000151A3" w:rsidRDefault="000151A3" w:rsidP="000151A3">
    <w:pPr>
      <w:pStyle w:val="Pidipagina"/>
      <w:tabs>
        <w:tab w:val="clear" w:pos="9638"/>
      </w:tabs>
      <w:ind w:left="-1134"/>
    </w:pPr>
    <w:r>
      <w:rPr>
        <w:noProof/>
        <w:lang w:eastAsia="it-IT"/>
      </w:rPr>
      <w:drawing>
        <wp:inline distT="0" distB="0" distL="0" distR="0" wp14:anchorId="1169656D" wp14:editId="1FF46C08">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34EC" w14:textId="77777777" w:rsidR="00581CDD" w:rsidRDefault="00581C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95FB" w14:textId="77777777" w:rsidR="000665B5" w:rsidRDefault="000665B5" w:rsidP="000151A3">
      <w:r>
        <w:separator/>
      </w:r>
    </w:p>
  </w:footnote>
  <w:footnote w:type="continuationSeparator" w:id="0">
    <w:p w14:paraId="04AE8511" w14:textId="77777777" w:rsidR="000665B5" w:rsidRDefault="000665B5" w:rsidP="000151A3">
      <w:r>
        <w:continuationSeparator/>
      </w:r>
    </w:p>
  </w:footnote>
  <w:footnote w:id="1">
    <w:p w14:paraId="12338FDA" w14:textId="77777777" w:rsidR="004A6CE5" w:rsidRPr="004515CB" w:rsidRDefault="004A6CE5" w:rsidP="004A6CE5">
      <w:pPr>
        <w:pStyle w:val="Testonotaapidipagina"/>
        <w:jc w:val="both"/>
        <w:rPr>
          <w:rFonts w:ascii="Titillium Web" w:hAnsi="Titillium Web"/>
        </w:rPr>
      </w:pPr>
      <w:r w:rsidRPr="000F1C92">
        <w:rPr>
          <w:rStyle w:val="Rimandonotaapidipagina"/>
          <w:rFonts w:cs="Calibri"/>
        </w:rPr>
        <w:footnoteRef/>
      </w:r>
      <w:r w:rsidRPr="008A73A5">
        <w:rPr>
          <w:rFonts w:cs="Calibri"/>
        </w:rPr>
        <w:t xml:space="preserve"> </w:t>
      </w:r>
      <w:r w:rsidRPr="004515CB">
        <w:rPr>
          <w:rFonts w:ascii="Titillium Web" w:hAnsi="Titillium Web"/>
        </w:rPr>
        <w:t>Per gli operatori economici italiani o stranieri residenti in Italia, la dichiarazione deve essere sottoscritta da un legale rappresentante ovvero da un procuratore</w:t>
      </w:r>
      <w:r w:rsidRPr="004515CB">
        <w:rPr>
          <w:rFonts w:ascii="Titillium Web" w:hAnsi="Titillium Web"/>
          <w:vertAlign w:val="superscript"/>
        </w:rPr>
        <w:fldChar w:fldCharType="begin"/>
      </w:r>
      <w:r w:rsidRPr="004515CB">
        <w:rPr>
          <w:rFonts w:ascii="Titillium Web" w:hAnsi="Titillium Web"/>
          <w:vertAlign w:val="superscript"/>
        </w:rPr>
        <w:instrText xml:space="preserve"> NOTEREF _Ref41906052 \h  \* MERGEFORMAT </w:instrText>
      </w:r>
      <w:r w:rsidRPr="004515CB">
        <w:rPr>
          <w:rFonts w:ascii="Titillium Web" w:hAnsi="Titillium Web"/>
          <w:vertAlign w:val="superscript"/>
        </w:rPr>
      </w:r>
      <w:r w:rsidRPr="004515CB">
        <w:rPr>
          <w:rFonts w:ascii="Titillium Web" w:hAnsi="Titillium Web"/>
          <w:vertAlign w:val="superscript"/>
        </w:rPr>
        <w:fldChar w:fldCharType="separate"/>
      </w:r>
      <w:r w:rsidRPr="004515CB">
        <w:rPr>
          <w:rFonts w:ascii="Titillium Web" w:hAnsi="Titillium Web"/>
          <w:vertAlign w:val="superscript"/>
        </w:rPr>
        <w:t>2</w:t>
      </w:r>
      <w:r w:rsidRPr="004515CB">
        <w:rPr>
          <w:rFonts w:ascii="Titillium Web" w:hAnsi="Titillium Web"/>
          <w:vertAlign w:val="superscript"/>
        </w:rPr>
        <w:fldChar w:fldCharType="end"/>
      </w:r>
      <w:r w:rsidRPr="004515CB">
        <w:rPr>
          <w:rFonts w:ascii="Titillium Web" w:hAnsi="Titillium Web"/>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F226706" w14:textId="77777777" w:rsidR="004A6CE5" w:rsidRPr="004515CB" w:rsidRDefault="004A6CE5" w:rsidP="004A6CE5">
      <w:pPr>
        <w:pStyle w:val="Testonotaapidipagina"/>
        <w:jc w:val="both"/>
        <w:rPr>
          <w:rFonts w:ascii="Titillium Web" w:hAnsi="Titillium Web"/>
        </w:rPr>
      </w:pPr>
      <w:r w:rsidRPr="004515CB">
        <w:rPr>
          <w:rStyle w:val="Rimandonotaapidipagina"/>
          <w:rFonts w:ascii="Titillium Web" w:hAnsi="Titillium Web"/>
        </w:rPr>
        <w:footnoteRef/>
      </w:r>
      <w:r w:rsidRPr="004515CB">
        <w:rPr>
          <w:rFonts w:ascii="Titillium Web" w:hAnsi="Titillium Web"/>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C0B0" w14:textId="77777777" w:rsidR="00581CDD" w:rsidRDefault="00581C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3B90ACF5" w:rsidR="000151A3" w:rsidRDefault="00581CDD" w:rsidP="000151A3">
    <w:pPr>
      <w:pStyle w:val="Intestazione"/>
      <w:tabs>
        <w:tab w:val="clear" w:pos="9638"/>
      </w:tabs>
      <w:ind w:left="-1134" w:right="-1134"/>
    </w:pPr>
    <w:r>
      <w:rPr>
        <w:noProof/>
        <w:lang w:eastAsia="it-IT"/>
      </w:rPr>
      <w:drawing>
        <wp:anchor distT="0" distB="0" distL="114300" distR="114300" simplePos="0" relativeHeight="251660288" behindDoc="0" locked="0" layoutInCell="1" allowOverlap="1" wp14:anchorId="20B2C7C9" wp14:editId="0653E9F0">
          <wp:simplePos x="0" y="0"/>
          <wp:positionH relativeFrom="column">
            <wp:posOffset>5156835</wp:posOffset>
          </wp:positionH>
          <wp:positionV relativeFrom="paragraph">
            <wp:posOffset>261620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D709B3">
      <w:rPr>
        <w:noProof/>
        <w:lang w:eastAsia="it-IT"/>
      </w:rPr>
      <w:drawing>
        <wp:inline distT="0" distB="0" distL="0" distR="0" wp14:anchorId="1ADB9ECB" wp14:editId="3848172F">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A0B3C" w14:textId="77777777" w:rsidR="00581CDD" w:rsidRDefault="00581C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505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4335"/>
    <w:rsid w:val="000665B5"/>
    <w:rsid w:val="00130045"/>
    <w:rsid w:val="00167E3E"/>
    <w:rsid w:val="00194766"/>
    <w:rsid w:val="001C0DB1"/>
    <w:rsid w:val="002203AA"/>
    <w:rsid w:val="00264C8B"/>
    <w:rsid w:val="004137AF"/>
    <w:rsid w:val="004515CB"/>
    <w:rsid w:val="004A6CE5"/>
    <w:rsid w:val="004D5ADB"/>
    <w:rsid w:val="00523C83"/>
    <w:rsid w:val="00530094"/>
    <w:rsid w:val="00581CDD"/>
    <w:rsid w:val="00592042"/>
    <w:rsid w:val="005A6032"/>
    <w:rsid w:val="005B4F17"/>
    <w:rsid w:val="00633B2C"/>
    <w:rsid w:val="00634241"/>
    <w:rsid w:val="00647DF6"/>
    <w:rsid w:val="00660EA3"/>
    <w:rsid w:val="006E7D38"/>
    <w:rsid w:val="0073373F"/>
    <w:rsid w:val="0074198B"/>
    <w:rsid w:val="007461AA"/>
    <w:rsid w:val="007A5B73"/>
    <w:rsid w:val="007D220A"/>
    <w:rsid w:val="008268D4"/>
    <w:rsid w:val="00831135"/>
    <w:rsid w:val="008334BF"/>
    <w:rsid w:val="008A4AFF"/>
    <w:rsid w:val="00950267"/>
    <w:rsid w:val="009834DA"/>
    <w:rsid w:val="009F2615"/>
    <w:rsid w:val="00A137E0"/>
    <w:rsid w:val="00A63A0B"/>
    <w:rsid w:val="00A63F94"/>
    <w:rsid w:val="00A80D9E"/>
    <w:rsid w:val="00AA1B90"/>
    <w:rsid w:val="00AC554D"/>
    <w:rsid w:val="00B51061"/>
    <w:rsid w:val="00C35781"/>
    <w:rsid w:val="00C57DC6"/>
    <w:rsid w:val="00CD6542"/>
    <w:rsid w:val="00D20B94"/>
    <w:rsid w:val="00D709B3"/>
    <w:rsid w:val="00D7691A"/>
    <w:rsid w:val="00DF7608"/>
    <w:rsid w:val="00EB1ACB"/>
    <w:rsid w:val="00F87F08"/>
    <w:rsid w:val="00FB6D3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F7608"/>
    <w:pPr>
      <w:widowControl w:val="0"/>
      <w:autoSpaceDE w:val="0"/>
      <w:autoSpaceDN w:val="0"/>
      <w:ind w:left="152" w:right="395"/>
      <w:jc w:val="center"/>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4A6CE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A6CE5"/>
    <w:rPr>
      <w:rFonts w:ascii="Calibri" w:eastAsia="Calibri" w:hAnsi="Calibri" w:cs="Times New Roman"/>
      <w:sz w:val="20"/>
      <w:szCs w:val="20"/>
    </w:rPr>
  </w:style>
  <w:style w:type="character" w:styleId="Rimandonotaapidipagina">
    <w:name w:val="footnote reference"/>
    <w:uiPriority w:val="99"/>
    <w:rsid w:val="004A6CE5"/>
    <w:rPr>
      <w:vertAlign w:val="superscript"/>
    </w:rPr>
  </w:style>
  <w:style w:type="table" w:styleId="Grigliatabella">
    <w:name w:val="Table Grid"/>
    <w:basedOn w:val="Tabellanormale"/>
    <w:uiPriority w:val="99"/>
    <w:rsid w:val="001C0DB1"/>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F7608"/>
    <w:rPr>
      <w:rFonts w:ascii="Times New Roman" w:eastAsia="Times New Roman" w:hAnsi="Times New Roman" w:cs="Times New Roman"/>
      <w:b/>
      <w:bCs/>
    </w:rPr>
  </w:style>
  <w:style w:type="paragraph" w:styleId="Corpotesto">
    <w:name w:val="Body Text"/>
    <w:basedOn w:val="Normale"/>
    <w:link w:val="CorpotestoCarattere"/>
    <w:uiPriority w:val="1"/>
    <w:qFormat/>
    <w:rsid w:val="00DF7608"/>
    <w:pPr>
      <w:widowControl w:val="0"/>
      <w:autoSpaceDE w:val="0"/>
      <w:autoSpaceDN w:val="0"/>
      <w:ind w:left="839" w:hanging="360"/>
    </w:pPr>
    <w:rPr>
      <w:rFonts w:ascii="Times New Roman" w:eastAsia="Times New Roman" w:hAnsi="Times New Roman" w:cs="Times New Roman"/>
      <w:sz w:val="22"/>
      <w:szCs w:val="22"/>
    </w:rPr>
  </w:style>
  <w:style w:type="character" w:customStyle="1" w:styleId="CorpotestoCarattere">
    <w:name w:val="Corpo testo Carattere"/>
    <w:basedOn w:val="Carpredefinitoparagrafo"/>
    <w:link w:val="Corpotesto"/>
    <w:uiPriority w:val="1"/>
    <w:rsid w:val="00DF7608"/>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153EC-F8C1-4A5D-A81B-845253525E30}">
  <ds:schemaRefs>
    <ds:schemaRef ds:uri="http://schemas.microsoft.com/sharepoint/v3/contenttype/forms"/>
  </ds:schemaRefs>
</ds:datastoreItem>
</file>

<file path=customXml/itemProps2.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3.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1516</Words>
  <Characters>8646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GIOVANNI COLECCHIA</cp:lastModifiedBy>
  <cp:revision>5</cp:revision>
  <dcterms:created xsi:type="dcterms:W3CDTF">2024-05-21T12:49:00Z</dcterms:created>
  <dcterms:modified xsi:type="dcterms:W3CDTF">2024-05-21T13:41:00Z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ies>
</file>