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2DF9" w14:textId="77777777" w:rsidR="001D0F17" w:rsidRPr="003208A8" w:rsidRDefault="001D0F17" w:rsidP="001D0F17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color w:val="000000" w:themeColor="text1"/>
          <w:sz w:val="24"/>
          <w:szCs w:val="24"/>
          <w:lang w:val="en-US"/>
        </w:rPr>
      </w:pPr>
      <w:r w:rsidRPr="003208A8">
        <w:rPr>
          <w:rFonts w:ascii="Titillium Web" w:hAnsi="Titillium Web" w:cstheme="minorHAnsi"/>
          <w:b/>
          <w:color w:val="000000" w:themeColor="text1"/>
          <w:sz w:val="24"/>
          <w:szCs w:val="24"/>
          <w:lang w:val="en-US"/>
        </w:rPr>
        <w:t>National Research Centre for Agricultural Technologies - AGRITECH</w:t>
      </w:r>
    </w:p>
    <w:p w14:paraId="6E7C634D" w14:textId="77777777" w:rsidR="001D0F17" w:rsidRDefault="001D0F17" w:rsidP="001D0F17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1"/>
          <w:szCs w:val="21"/>
        </w:rPr>
      </w:pPr>
      <w:r w:rsidRPr="003208A8">
        <w:rPr>
          <w:rFonts w:ascii="Titillium Web" w:hAnsi="Titillium Web" w:cstheme="minorHAnsi"/>
          <w:b/>
          <w:color w:val="000000" w:themeColor="text1"/>
          <w:sz w:val="21"/>
          <w:szCs w:val="21"/>
        </w:rPr>
        <w:t xml:space="preserve">Codice progetto MUR: </w:t>
      </w:r>
      <w:r w:rsidRPr="003208A8">
        <w:rPr>
          <w:rFonts w:ascii="Titillium Web" w:hAnsi="Titillium Web" w:cstheme="minorHAnsi"/>
          <w:color w:val="000000" w:themeColor="text1"/>
          <w:sz w:val="21"/>
          <w:szCs w:val="21"/>
        </w:rPr>
        <w:t>CN_00000022</w:t>
      </w:r>
      <w:r w:rsidRPr="003208A8">
        <w:rPr>
          <w:rFonts w:ascii="Titillium Web" w:hAnsi="Titillium Web" w:cstheme="minorHAnsi"/>
          <w:b/>
          <w:bCs/>
          <w:color w:val="000000" w:themeColor="text1"/>
          <w:sz w:val="21"/>
          <w:szCs w:val="21"/>
        </w:rPr>
        <w:t xml:space="preserve"> </w:t>
      </w:r>
      <w:r w:rsidRPr="003208A8">
        <w:rPr>
          <w:rFonts w:ascii="Titillium Web" w:hAnsi="Titillium Web" w:cstheme="minorHAnsi"/>
          <w:b/>
          <w:color w:val="000000" w:themeColor="text1"/>
          <w:sz w:val="21"/>
          <w:szCs w:val="21"/>
        </w:rPr>
        <w:t xml:space="preserve">CUP UNINA: </w:t>
      </w:r>
      <w:r w:rsidRPr="003208A8">
        <w:rPr>
          <w:rFonts w:ascii="Titillium Web" w:hAnsi="Titillium Web" w:cstheme="minorHAnsi"/>
          <w:color w:val="000000" w:themeColor="text1"/>
          <w:sz w:val="21"/>
          <w:szCs w:val="21"/>
        </w:rPr>
        <w:t>E63C22000920005</w:t>
      </w:r>
      <w:r w:rsidRPr="003208A8">
        <w:rPr>
          <w:rFonts w:ascii="Titillium Web" w:hAnsi="Titillium Web" w:cstheme="minorHAnsi"/>
          <w:b/>
          <w:bCs/>
          <w:color w:val="000000" w:themeColor="text1"/>
          <w:sz w:val="21"/>
          <w:szCs w:val="21"/>
        </w:rPr>
        <w:t xml:space="preserve"> </w:t>
      </w:r>
      <w:r w:rsidRPr="003208A8">
        <w:rPr>
          <w:rFonts w:ascii="Titillium Web" w:hAnsi="Titillium Web" w:cstheme="minorHAnsi"/>
          <w:b/>
          <w:color w:val="000000" w:themeColor="text1"/>
          <w:sz w:val="21"/>
          <w:szCs w:val="21"/>
        </w:rPr>
        <w:t xml:space="preserve">Missione: </w:t>
      </w:r>
      <w:r w:rsidRPr="003208A8">
        <w:rPr>
          <w:rFonts w:ascii="Titillium Web" w:hAnsi="Titillium Web" w:cstheme="minorHAnsi"/>
          <w:color w:val="000000" w:themeColor="text1"/>
          <w:sz w:val="21"/>
          <w:szCs w:val="21"/>
        </w:rPr>
        <w:t>4</w:t>
      </w:r>
      <w:r w:rsidRPr="003208A8">
        <w:rPr>
          <w:rFonts w:ascii="Titillium Web" w:hAnsi="Titillium Web" w:cstheme="minorHAnsi"/>
          <w:b/>
          <w:color w:val="000000" w:themeColor="text1"/>
          <w:sz w:val="21"/>
          <w:szCs w:val="21"/>
        </w:rPr>
        <w:t xml:space="preserve"> Componente: </w:t>
      </w:r>
      <w:r w:rsidRPr="003208A8">
        <w:rPr>
          <w:rFonts w:ascii="Titillium Web" w:hAnsi="Titillium Web" w:cstheme="minorHAnsi"/>
          <w:color w:val="000000" w:themeColor="text1"/>
          <w:sz w:val="21"/>
          <w:szCs w:val="21"/>
        </w:rPr>
        <w:t>2</w:t>
      </w:r>
      <w:r w:rsidRPr="003208A8">
        <w:rPr>
          <w:rFonts w:ascii="Titillium Web" w:hAnsi="Titillium Web" w:cstheme="minorHAnsi"/>
          <w:b/>
          <w:color w:val="000000" w:themeColor="text1"/>
          <w:sz w:val="21"/>
          <w:szCs w:val="21"/>
        </w:rPr>
        <w:t xml:space="preserve"> Investimento: </w:t>
      </w:r>
      <w:r w:rsidRPr="003208A8">
        <w:rPr>
          <w:rFonts w:ascii="Titillium Web" w:hAnsi="Titillium Web" w:cstheme="minorHAnsi"/>
          <w:color w:val="000000" w:themeColor="text1"/>
          <w:sz w:val="21"/>
          <w:szCs w:val="21"/>
        </w:rPr>
        <w:t>1.4</w:t>
      </w:r>
    </w:p>
    <w:p w14:paraId="32BDC6D7" w14:textId="77777777" w:rsidR="00453B8B" w:rsidRPr="003208A8" w:rsidRDefault="00453B8B" w:rsidP="001D0F17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1"/>
          <w:szCs w:val="21"/>
        </w:rPr>
      </w:pPr>
    </w:p>
    <w:p w14:paraId="65F1BCF4" w14:textId="30B42CA3" w:rsidR="008757F1" w:rsidRDefault="00453B8B" w:rsidP="00453B8B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453B8B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SCHEMA DI CONTRATTO</w:t>
      </w:r>
    </w:p>
    <w:p w14:paraId="57D0945B" w14:textId="77777777" w:rsidR="00672FE3" w:rsidRPr="00672FE3" w:rsidRDefault="00B41057" w:rsidP="00B41057">
      <w:pPr>
        <w:spacing w:line="360" w:lineRule="exact"/>
        <w:jc w:val="both"/>
        <w:rPr>
          <w:rFonts w:ascii="Titillium Web" w:hAnsi="Titillium Web"/>
          <w:b/>
          <w:bCs/>
          <w:sz w:val="24"/>
          <w:szCs w:val="24"/>
        </w:rPr>
      </w:pPr>
      <w:r w:rsidRPr="00672FE3">
        <w:rPr>
          <w:rFonts w:ascii="Titillium Web" w:hAnsi="Titillium Web"/>
          <w:b/>
          <w:bCs/>
          <w:sz w:val="24"/>
          <w:szCs w:val="24"/>
        </w:rPr>
        <w:t>PER L’AFFIDAMENTO DELL’APPALTO DI FORNITURA DI UNA “</w:t>
      </w:r>
      <w:bookmarkStart w:id="0" w:name="_Hlk147933345"/>
      <w:r w:rsidR="00672FE3" w:rsidRPr="00672FE3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PIATTAFORMA DI ECOTRONI (MICROCOSMI) COMPRENSIVA DI N. 5 UNITÀ, INCLUSO IL SERVIZIO DI ASSISTENZA</w:t>
      </w:r>
      <w:bookmarkStart w:id="1" w:name="_Hlk136956438"/>
      <w:bookmarkEnd w:id="0"/>
      <w:r w:rsidR="00672FE3" w:rsidRPr="00672FE3">
        <w:rPr>
          <w:rFonts w:ascii="Titillium Web" w:hAnsi="Titillium Web"/>
          <w:b/>
          <w:bCs/>
          <w:i/>
          <w:iCs/>
          <w:sz w:val="24"/>
          <w:szCs w:val="24"/>
        </w:rPr>
        <w:t xml:space="preserve">”, </w:t>
      </w:r>
      <w:r w:rsidR="00672FE3" w:rsidRPr="00672FE3">
        <w:rPr>
          <w:rFonts w:ascii="Titillium Web" w:hAnsi="Titillium Web"/>
          <w:b/>
          <w:bCs/>
          <w:sz w:val="24"/>
          <w:szCs w:val="24"/>
        </w:rPr>
        <w:t>NECESSARIA</w:t>
      </w:r>
      <w:r w:rsidRPr="00672FE3">
        <w:rPr>
          <w:rFonts w:ascii="Titillium Web" w:hAnsi="Titillium Web"/>
          <w:b/>
          <w:bCs/>
          <w:sz w:val="24"/>
          <w:szCs w:val="24"/>
        </w:rPr>
        <w:t xml:space="preserve"> PER L’ATTUAZIONE DEL PROGRAMMA DI RICERCA DEL CENTRO </w:t>
      </w:r>
      <w:r w:rsidR="009366E0" w:rsidRPr="00672FE3">
        <w:rPr>
          <w:rFonts w:ascii="Titillium Web" w:hAnsi="Titillium Web"/>
          <w:b/>
          <w:bCs/>
          <w:sz w:val="24"/>
          <w:szCs w:val="24"/>
        </w:rPr>
        <w:t>NAZIONALE DI RICERCA PER LE TECNOLOGIE DELL’AGRICOLTURA (AGRITECH)</w:t>
      </w:r>
      <w:r w:rsidRPr="00672FE3">
        <w:rPr>
          <w:rFonts w:ascii="Titillium Web" w:hAnsi="Titillium Web"/>
          <w:b/>
          <w:bCs/>
          <w:sz w:val="24"/>
          <w:szCs w:val="24"/>
        </w:rPr>
        <w:t xml:space="preserve">. </w:t>
      </w:r>
    </w:p>
    <w:p w14:paraId="5AF2822E" w14:textId="5BED6898" w:rsidR="00B41057" w:rsidRPr="00975979" w:rsidRDefault="00B41057" w:rsidP="00B41057">
      <w:pPr>
        <w:spacing w:line="360" w:lineRule="exact"/>
        <w:jc w:val="both"/>
        <w:rPr>
          <w:rFonts w:ascii="Titillium Web" w:hAnsi="Titillium Web"/>
          <w:b/>
          <w:bCs/>
          <w:sz w:val="22"/>
          <w:szCs w:val="22"/>
        </w:rPr>
      </w:pPr>
      <w:r w:rsidRPr="00975979">
        <w:rPr>
          <w:rFonts w:ascii="Titillium Web" w:hAnsi="Titillium Web"/>
          <w:b/>
          <w:bCs/>
          <w:sz w:val="22"/>
          <w:szCs w:val="22"/>
        </w:rPr>
        <w:t xml:space="preserve">CUP E63C22000920005 CIG </w:t>
      </w:r>
      <w:r w:rsidR="00D32BC2" w:rsidRPr="00D32BC2">
        <w:rPr>
          <w:rFonts w:ascii="Titillium Web" w:hAnsi="Titillium Web"/>
          <w:b/>
          <w:bCs/>
          <w:sz w:val="22"/>
          <w:szCs w:val="22"/>
        </w:rPr>
        <w:t>A02360BDD9</w:t>
      </w:r>
      <w:r w:rsidRPr="00975979">
        <w:rPr>
          <w:rFonts w:ascii="Titillium Web" w:hAnsi="Titillium Web"/>
          <w:b/>
          <w:bCs/>
          <w:sz w:val="22"/>
          <w:szCs w:val="22"/>
        </w:rPr>
        <w:t xml:space="preserve"> CUI </w:t>
      </w:r>
      <w:r w:rsidR="00672FE3" w:rsidRPr="00975979">
        <w:rPr>
          <w:rFonts w:ascii="Titillium Web" w:hAnsi="Titillium Web"/>
          <w:b/>
          <w:bCs/>
          <w:sz w:val="22"/>
          <w:szCs w:val="22"/>
        </w:rPr>
        <w:t>F00876220633202300060</w:t>
      </w:r>
    </w:p>
    <w:bookmarkEnd w:id="1"/>
    <w:p w14:paraId="534E063D" w14:textId="77777777" w:rsidR="00453B8B" w:rsidRPr="00453B8B" w:rsidRDefault="00453B8B" w:rsidP="00453B8B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2"/>
          <w:szCs w:val="22"/>
        </w:rPr>
      </w:pPr>
    </w:p>
    <w:p w14:paraId="6C35F369" w14:textId="77777777" w:rsidR="00453B8B" w:rsidRPr="00453B8B" w:rsidRDefault="00453B8B" w:rsidP="00453B8B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  <w:t>TRA</w:t>
      </w:r>
    </w:p>
    <w:p w14:paraId="6CC7FA34" w14:textId="69EB9468" w:rsidR="00453B8B" w:rsidRPr="00453B8B" w:rsidRDefault="009366E0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>
        <w:rPr>
          <w:rFonts w:ascii="Titillium Web" w:hAnsi="Titillium Web" w:cstheme="minorHAnsi"/>
          <w:color w:val="000000" w:themeColor="text1"/>
          <w:sz w:val="22"/>
          <w:szCs w:val="22"/>
        </w:rPr>
        <w:t xml:space="preserve">Dipartimento di Agraria - 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>Università degli Studi di Napoli Federico II (c.f.</w:t>
      </w:r>
      <w:r w:rsidR="003D5F2C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</w:t>
      </w:r>
      <w:r w:rsidR="003D5F2C" w:rsidRPr="003D5F2C">
        <w:rPr>
          <w:rFonts w:ascii="Titillium Web" w:hAnsi="Titillium Web" w:cstheme="minorHAnsi"/>
          <w:color w:val="000000" w:themeColor="text1"/>
          <w:sz w:val="22"/>
          <w:szCs w:val="22"/>
        </w:rPr>
        <w:t>00876220633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>), con sede</w:t>
      </w:r>
      <w:r w:rsidR="003D5F2C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legale in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</w:t>
      </w:r>
      <w:r w:rsidR="00984BB9">
        <w:rPr>
          <w:rFonts w:ascii="Titillium Web" w:hAnsi="Titillium Web" w:cstheme="minorHAnsi"/>
          <w:color w:val="000000" w:themeColor="text1"/>
          <w:sz w:val="22"/>
          <w:szCs w:val="22"/>
        </w:rPr>
        <w:t>Portici (Napoli)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</w:t>
      </w:r>
      <w:r w:rsidR="00022590" w:rsidRPr="00022590">
        <w:rPr>
          <w:rFonts w:ascii="Titillium Web" w:hAnsi="Titillium Web" w:cstheme="minorHAnsi"/>
          <w:color w:val="000000" w:themeColor="text1"/>
          <w:sz w:val="22"/>
          <w:szCs w:val="22"/>
        </w:rPr>
        <w:t>piazza Carlo di Borbone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, </w:t>
      </w:r>
      <w:r w:rsidR="00022590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n. 1, 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rappresentata nel presente atto </w:t>
      </w:r>
      <w:r w:rsidR="007947ED" w:rsidRPr="007947ED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dal Direttore del </w:t>
      </w:r>
      <w:proofErr w:type="gramStart"/>
      <w:r w:rsidR="007947ED" w:rsidRPr="007947ED">
        <w:rPr>
          <w:rFonts w:ascii="Titillium Web" w:hAnsi="Titillium Web" w:cstheme="minorHAnsi"/>
          <w:color w:val="000000" w:themeColor="text1"/>
          <w:sz w:val="22"/>
          <w:szCs w:val="22"/>
        </w:rPr>
        <w:t>Dipartimento  p.t.</w:t>
      </w:r>
      <w:proofErr w:type="gramEnd"/>
      <w:r w:rsidR="007947ED" w:rsidRPr="007947ED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Prof. Danilo Ercolini 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(di seguito chiamata, per brevità, anche “Stazione Appaltante”); </w:t>
      </w:r>
    </w:p>
    <w:p w14:paraId="4ED69A65" w14:textId="77777777" w:rsidR="00453B8B" w:rsidRPr="009366E0" w:rsidRDefault="00453B8B" w:rsidP="009366E0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</w:pPr>
      <w:r w:rsidRPr="009366E0"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  <w:t>E</w:t>
      </w:r>
    </w:p>
    <w:p w14:paraId="19EDF820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_____ (c.f. e </w:t>
      </w:r>
      <w:proofErr w:type="spellStart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p.iva</w:t>
      </w:r>
      <w:proofErr w:type="spellEnd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. ___), con sede in ___, alla Via ___ n. ___, rappresentata nel presente atto dal dott./dott.ssa ______, [eventuale] in qualità di Mandataria del Raggruppamento Temporaneo di Imprese con le imprese _____ (di seguito chiamata, per brevità, anche “Appaltatore o Fornitore”)</w:t>
      </w:r>
    </w:p>
    <w:p w14:paraId="59549886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Stazione appaltante e Appaltatore sono pure nel seguito denominati congiuntamente come “Parti” e, ciascuno singolarmente, come “Parte”.</w:t>
      </w:r>
    </w:p>
    <w:p w14:paraId="1D6C2FAA" w14:textId="77777777" w:rsidR="00453B8B" w:rsidRPr="00832D75" w:rsidRDefault="00453B8B" w:rsidP="00832D75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</w:pPr>
      <w:r w:rsidRPr="00832D75"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  <w:t>***</w:t>
      </w:r>
    </w:p>
    <w:p w14:paraId="5A6D3E36" w14:textId="77777777" w:rsidR="00453B8B" w:rsidRPr="00BC2909" w:rsidRDefault="00453B8B" w:rsidP="00BC2909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  <w:t>Premesso che:</w:t>
      </w:r>
    </w:p>
    <w:p w14:paraId="2BF872F6" w14:textId="0BCF7BC1" w:rsidR="00453B8B" w:rsidRPr="00BC2909" w:rsidRDefault="00453B8B" w:rsidP="00BC290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con determina a contrarre n. </w:t>
      </w:r>
      <w:r w:rsidR="007947ED">
        <w:rPr>
          <w:rFonts w:ascii="Titillium Web" w:hAnsi="Titillium Web" w:cstheme="minorHAnsi"/>
          <w:color w:val="000000" w:themeColor="text1"/>
          <w:sz w:val="22"/>
          <w:szCs w:val="22"/>
        </w:rPr>
        <w:t>555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del </w:t>
      </w:r>
      <w:r w:rsidR="007947ED">
        <w:rPr>
          <w:rFonts w:ascii="Titillium Web" w:hAnsi="Titillium Web" w:cstheme="minorHAnsi"/>
          <w:color w:val="000000" w:themeColor="text1"/>
          <w:sz w:val="22"/>
          <w:szCs w:val="22"/>
        </w:rPr>
        <w:t>27.10.2023,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il </w:t>
      </w:r>
      <w:r w:rsidR="008757F1" w:rsidRPr="008757F1">
        <w:rPr>
          <w:rFonts w:ascii="Titillium Web" w:hAnsi="Titillium Web" w:cstheme="minorHAnsi"/>
          <w:color w:val="000000" w:themeColor="text1"/>
          <w:sz w:val="22"/>
          <w:szCs w:val="22"/>
        </w:rPr>
        <w:t>D</w:t>
      </w:r>
      <w:r w:rsidRPr="008757F1">
        <w:rPr>
          <w:rFonts w:ascii="Titillium Web" w:hAnsi="Titillium Web" w:cstheme="minorHAnsi"/>
          <w:color w:val="000000" w:themeColor="text1"/>
          <w:sz w:val="22"/>
          <w:szCs w:val="22"/>
        </w:rPr>
        <w:t>irettore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disponeva l’indizione di una procedura aperta ai sensi dell’art. 71 D.lgs. 36/2023 per l’affidamento dell’appalto di fornitura di una “</w:t>
      </w:r>
      <w:r w:rsidR="00672FE3" w:rsidRPr="00672FE3">
        <w:rPr>
          <w:rFonts w:ascii="Titillium Web" w:hAnsi="Titillium Web" w:cstheme="minorHAnsi"/>
          <w:i/>
          <w:iCs/>
          <w:color w:val="000000" w:themeColor="text1"/>
          <w:sz w:val="22"/>
          <w:szCs w:val="22"/>
        </w:rPr>
        <w:t>PIATTAFORMA DI ECOTRONI (MICROCOSMI) COMPRENSIVA DI N. 5 UNITÀ, INCLUSO IL SERVIZIO DI ASSISTENZA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”,  necessari</w:t>
      </w:r>
      <w:r w:rsidR="008757F1">
        <w:rPr>
          <w:rFonts w:ascii="Titillium Web" w:hAnsi="Titillium Web" w:cstheme="minorHAnsi"/>
          <w:color w:val="000000" w:themeColor="text1"/>
          <w:sz w:val="22"/>
          <w:szCs w:val="22"/>
        </w:rPr>
        <w:t>a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per lo svolgimento ed esecuzione delle attività di ricerca previste dal Programma di Ricerca del Centro Nazionale</w:t>
      </w:r>
      <w:r w:rsid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di Ricerca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per </w:t>
      </w:r>
      <w:r w:rsid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le </w:t>
      </w: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Tecnologie dell’Agricoltura (Agritech), a valere sulle risorse del Piano Nazionale Ripresa e Resilienza (PNRR) di cui alla Missione 4, “Istruzione e Ricerca” - Componente 2, “Dalla Ricerca all’Impresa” - Linea Di Investimento 1.4, “Potenziamento Strutture di Ricerca e Creazione di "Campioni Nazionali Di R&amp;S" su Alcune Key </w:t>
      </w:r>
      <w:proofErr w:type="spellStart"/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Enabling</w:t>
      </w:r>
      <w:proofErr w:type="spellEnd"/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Technologies”, Finanziato dall’Unione Europea – NEXTGENERATIONEU;</w:t>
      </w:r>
    </w:p>
    <w:p w14:paraId="755F1CEF" w14:textId="6D189C9E" w:rsidR="00453B8B" w:rsidRPr="00453B8B" w:rsidRDefault="00453B8B" w:rsidP="00BC290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conseguentemente, avvalendosi della piattaforma telematica </w:t>
      </w:r>
      <w:r w:rsidR="00B971E2" w:rsidRPr="00EA3C0E">
        <w:rPr>
          <w:rFonts w:ascii="Titillium Web" w:hAnsi="Titillium Web"/>
          <w:sz w:val="22"/>
          <w:szCs w:val="22"/>
        </w:rPr>
        <w:t xml:space="preserve">Consip </w:t>
      </w:r>
      <w:proofErr w:type="spellStart"/>
      <w:r w:rsidR="00B971E2">
        <w:rPr>
          <w:rFonts w:ascii="Titillium Web" w:hAnsi="Titillium Web"/>
          <w:sz w:val="22"/>
          <w:szCs w:val="22"/>
        </w:rPr>
        <w:t>A</w:t>
      </w:r>
      <w:r w:rsidR="00B971E2" w:rsidRPr="00EA3C0E">
        <w:rPr>
          <w:rFonts w:ascii="Titillium Web" w:hAnsi="Titillium Web"/>
          <w:sz w:val="22"/>
          <w:szCs w:val="22"/>
        </w:rPr>
        <w:t>cquistin</w:t>
      </w:r>
      <w:r w:rsidR="00B971E2">
        <w:rPr>
          <w:rFonts w:ascii="Titillium Web" w:hAnsi="Titillium Web"/>
          <w:sz w:val="22"/>
          <w:szCs w:val="22"/>
        </w:rPr>
        <w:t>R</w:t>
      </w:r>
      <w:r w:rsidR="00B971E2" w:rsidRPr="00EA3C0E">
        <w:rPr>
          <w:rFonts w:ascii="Titillium Web" w:hAnsi="Titillium Web"/>
          <w:sz w:val="22"/>
          <w:szCs w:val="22"/>
        </w:rPr>
        <w:t>ete</w:t>
      </w:r>
      <w:r w:rsidR="00B971E2">
        <w:rPr>
          <w:rFonts w:ascii="Titillium Web" w:hAnsi="Titillium Web"/>
          <w:sz w:val="22"/>
          <w:szCs w:val="22"/>
        </w:rPr>
        <w:t>PA</w:t>
      </w:r>
      <w:proofErr w:type="spellEnd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, con bando pubblicato in </w:t>
      </w:r>
      <w:r w:rsidRPr="00FE1D46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data </w:t>
      </w:r>
      <w:r w:rsidR="006E2B28">
        <w:rPr>
          <w:rFonts w:ascii="Titillium Web" w:hAnsi="Titillium Web" w:cstheme="minorHAnsi"/>
          <w:color w:val="000000" w:themeColor="text1"/>
          <w:sz w:val="22"/>
          <w:szCs w:val="22"/>
        </w:rPr>
        <w:t>10</w:t>
      </w:r>
      <w:r w:rsidR="00770F4D">
        <w:rPr>
          <w:rFonts w:ascii="Titillium Web" w:hAnsi="Titillium Web" w:cstheme="minorHAnsi"/>
          <w:color w:val="000000" w:themeColor="text1"/>
          <w:sz w:val="22"/>
          <w:szCs w:val="22"/>
        </w:rPr>
        <w:t>.11.</w:t>
      </w:r>
      <w:r w:rsidR="00770F4D" w:rsidRPr="00770F4D">
        <w:rPr>
          <w:rFonts w:ascii="Titillium Web" w:hAnsi="Titillium Web" w:cstheme="minorHAnsi"/>
          <w:color w:val="000000" w:themeColor="text1"/>
          <w:sz w:val="22"/>
          <w:szCs w:val="22"/>
        </w:rPr>
        <w:t>2023</w:t>
      </w:r>
      <w:r w:rsidRPr="00770F4D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</w:t>
      </w:r>
      <w:r w:rsidR="00BC2909" w:rsidRPr="00770F4D">
        <w:rPr>
          <w:rFonts w:ascii="Titillium Web" w:hAnsi="Titillium Web" w:cstheme="minorHAnsi"/>
          <w:color w:val="000000" w:themeColor="text1"/>
          <w:sz w:val="22"/>
          <w:szCs w:val="22"/>
        </w:rPr>
        <w:t>il</w:t>
      </w:r>
      <w:r w:rsidR="00BC2909" w:rsidRPr="00FE1D46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Dipartimento</w:t>
      </w:r>
      <w:r w:rsid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di Agraria dell’</w:t>
      </w: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Università di Napoli avviava una procedura aperta ai sensi dell’art. 71 D.lgs. 36/2023;</w:t>
      </w:r>
    </w:p>
    <w:p w14:paraId="5CE5E74C" w14:textId="2B375360" w:rsidR="00453B8B" w:rsidRPr="00453B8B" w:rsidRDefault="00453B8B" w:rsidP="00BC290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a conclusione della suddetta procedura, con determina n. ___ del ___ l’appalto veniva aggiudicato a favore dell’operatore economico ____;</w:t>
      </w:r>
    </w:p>
    <w:p w14:paraId="7AE72CCA" w14:textId="5F829FA2" w:rsidR="00453B8B" w:rsidRPr="00453B8B" w:rsidRDefault="00BC2909" w:rsidP="00BC290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>
        <w:rPr>
          <w:rFonts w:ascii="Titillium Web" w:hAnsi="Titillium Web" w:cstheme="minorHAnsi"/>
          <w:color w:val="000000" w:themeColor="text1"/>
          <w:sz w:val="22"/>
          <w:szCs w:val="22"/>
        </w:rPr>
        <w:t>in</w:t>
      </w:r>
      <w:r w:rsidR="00453B8B"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vista della sottoscrizione del presente contratto, l’aggiudicatario ___ ha presentato idonea garanzia definitiva ai sensi dell’art. 117 D.lgs. 36/2023;</w:t>
      </w:r>
    </w:p>
    <w:p w14:paraId="11AE4DF4" w14:textId="5D88F5A4" w:rsidR="00453B8B" w:rsidRPr="00453B8B" w:rsidRDefault="00453B8B" w:rsidP="00BC290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i controlli sul possesso dei requisiti generali e speciali in capo l’aggiudicatario ___ sono stati effettuati dalla Stazione appaltante con esito positivo;</w:t>
      </w:r>
    </w:p>
    <w:p w14:paraId="3EC0C8F1" w14:textId="71301B01" w:rsidR="00BC2909" w:rsidRDefault="00453B8B" w:rsidP="006305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pertanto, occorre procedere alla stipula del contratto d’appalto in oggetto.</w:t>
      </w:r>
    </w:p>
    <w:p w14:paraId="4E5E099B" w14:textId="18CE55DD" w:rsidR="00453B8B" w:rsidRPr="00BC2909" w:rsidRDefault="00453B8B" w:rsidP="00BC2909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Tutto ciò premesso, le Parti convengono e stipulano quanto segue.</w:t>
      </w:r>
    </w:p>
    <w:p w14:paraId="08A364FD" w14:textId="77777777" w:rsidR="00453B8B" w:rsidRPr="00BC2909" w:rsidRDefault="00453B8B" w:rsidP="00BC2909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2"/>
          <w:szCs w:val="22"/>
        </w:rPr>
        <w:lastRenderedPageBreak/>
        <w:t>***</w:t>
      </w:r>
    </w:p>
    <w:p w14:paraId="7F66040A" w14:textId="77777777" w:rsidR="00453B8B" w:rsidRPr="00BC2909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1 – Premesse</w:t>
      </w:r>
    </w:p>
    <w:p w14:paraId="07B5F470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Le premesse formano parte integrante del presente contratto di appalto.</w:t>
      </w:r>
    </w:p>
    <w:p w14:paraId="6A6F2974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Sono inoltre parte integrante e sostanziale dello stesso, anche se non materialmente allegati:</w:t>
      </w:r>
    </w:p>
    <w:p w14:paraId="45962CE5" w14:textId="0B720B27" w:rsidR="00453B8B" w:rsidRPr="00BC2909" w:rsidRDefault="00453B8B" w:rsidP="00BC290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il capitolato speciale di appalto, il capitolato tecnico di fornitura, nonché tutta la documentazione predisposta dalla Stazione appaltante per la procedura di affidamento in oggetto, compresi i relativi allegati; </w:t>
      </w:r>
    </w:p>
    <w:p w14:paraId="2D451A4B" w14:textId="1683BE3A" w:rsidR="00453B8B" w:rsidRPr="00BC2909" w:rsidRDefault="00453B8B" w:rsidP="00BC290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l’offerta presentata dall’Appaltatore in relazione alla procedura in oggetto;</w:t>
      </w:r>
    </w:p>
    <w:p w14:paraId="4F0E8590" w14:textId="52A320F4" w:rsidR="00453B8B" w:rsidRPr="00BC2909" w:rsidRDefault="00453B8B" w:rsidP="00BC290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l’informativa sul trattamento dei dati personali, sottoscritta dall’Appaltatore (informativa privacy);</w:t>
      </w:r>
    </w:p>
    <w:p w14:paraId="7B26C8BD" w14:textId="00D695A1" w:rsidR="00453B8B" w:rsidRPr="00BC2909" w:rsidRDefault="00453B8B" w:rsidP="00BC290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il patto di integrità sottoscritto dall’Appaltatore;</w:t>
      </w:r>
    </w:p>
    <w:p w14:paraId="19EFFC4A" w14:textId="2E57D9CB" w:rsidR="00453B8B" w:rsidRPr="00BC2909" w:rsidRDefault="00453B8B" w:rsidP="00BC290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2909">
        <w:rPr>
          <w:rFonts w:ascii="Titillium Web" w:hAnsi="Titillium Web" w:cstheme="minorHAnsi"/>
          <w:color w:val="000000" w:themeColor="text1"/>
          <w:sz w:val="22"/>
          <w:szCs w:val="22"/>
        </w:rPr>
        <w:t>gli ulteriori elaborati e atti facenti parte della documentazione di gara.</w:t>
      </w:r>
    </w:p>
    <w:p w14:paraId="26AE5FA7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2 – Oggetto del contratto</w:t>
      </w:r>
    </w:p>
    <w:p w14:paraId="0A984910" w14:textId="7EC09622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Il presente contratto di appalto ha per oggetto la fornitura di una “</w:t>
      </w:r>
      <w:r w:rsidR="00672FE3" w:rsidRPr="00672FE3">
        <w:rPr>
          <w:rFonts w:ascii="Titillium Web" w:hAnsi="Titillium Web" w:cstheme="minorHAnsi"/>
          <w:i/>
          <w:iCs/>
          <w:color w:val="000000" w:themeColor="text1"/>
          <w:sz w:val="22"/>
          <w:szCs w:val="22"/>
        </w:rPr>
        <w:t>PIATTAFORMA DI ECOTRONI (MICROCOSMI) COMPRENSIVA DI N. 5 UNITÀ, INCLUSO IL SERVIZIO DI ASSISTENZA</w:t>
      </w: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”,  necessaria per l’attuazione del Programma di Ricerca del </w:t>
      </w:r>
      <w:r w:rsidR="000B3B9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Centro Nazionale </w:t>
      </w:r>
      <w:r w:rsidR="00BC2909">
        <w:rPr>
          <w:rFonts w:ascii="Titillium Web" w:hAnsi="Titillium Web" w:cstheme="minorHAnsi"/>
          <w:color w:val="000000" w:themeColor="text1"/>
          <w:sz w:val="22"/>
          <w:szCs w:val="22"/>
        </w:rPr>
        <w:t>di Ricerca</w:t>
      </w:r>
      <w:r w:rsidR="00BC2909" w:rsidRP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per </w:t>
      </w:r>
      <w:r w:rsid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le </w:t>
      </w:r>
      <w:r w:rsidR="00BC2909" w:rsidRPr="00BC2909">
        <w:rPr>
          <w:rFonts w:ascii="Titillium Web" w:hAnsi="Titillium Web" w:cstheme="minorHAnsi"/>
          <w:color w:val="000000" w:themeColor="text1"/>
          <w:sz w:val="22"/>
          <w:szCs w:val="22"/>
        </w:rPr>
        <w:t>Tecnologie dell’Agricoltura (Agritech</w:t>
      </w: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), a valere sulle risorse del Piano Nazionale Ripresa e Resilienza (PNRR) di cui alla Missione 4, “Istruzione e Ricerca” - Componente 2, “Dalla Ricerca all’Impresa” - Linea di Investimento 1.4, “Potenziamento Strutture di Ricerca e Creazione di "Campioni Nazionali di R&amp;S" su alcune Key </w:t>
      </w:r>
      <w:proofErr w:type="spellStart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Enabling</w:t>
      </w:r>
      <w:proofErr w:type="spellEnd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Technologies”, Finanziato dall’Unione Europea – NEXTGENERATIONEU.</w:t>
      </w:r>
    </w:p>
    <w:p w14:paraId="0F37918E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L’Appaltatore si impegna, altresì, a </w:t>
      </w:r>
      <w:proofErr w:type="gramStart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porre in essere</w:t>
      </w:r>
      <w:proofErr w:type="gramEnd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tutte le attività connesse, strumentali e accessorie della fornitura come meglio descritto e dettagliato nel capitolato speciale di appalto.</w:t>
      </w:r>
    </w:p>
    <w:p w14:paraId="61D7A48A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3 – Durata del contratto e tempistiche di consegna della fornitura</w:t>
      </w:r>
    </w:p>
    <w:p w14:paraId="28D02590" w14:textId="7F1CD1CE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Le apparecchiature oggetto del presente appalto di fornitura dovranno essere consegnate alla Stazione appaltante entro </w:t>
      </w:r>
      <w:r w:rsidR="00672FE3">
        <w:rPr>
          <w:rFonts w:ascii="Titillium Web" w:hAnsi="Titillium Web" w:cstheme="minorHAnsi"/>
          <w:color w:val="000000" w:themeColor="text1"/>
          <w:sz w:val="22"/>
          <w:szCs w:val="22"/>
        </w:rPr>
        <w:t>120 giorni</w:t>
      </w:r>
      <w:r w:rsidR="00BC290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</w:t>
      </w: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naturali e consecutivi decorrenti dalla sottoscrizione del contratto ovvero dalla consegna anticipata della fornitura. </w:t>
      </w:r>
    </w:p>
    <w:p w14:paraId="543DE093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4 – Corrispettivo del contratto</w:t>
      </w:r>
    </w:p>
    <w:p w14:paraId="64DD4A61" w14:textId="57BA0F76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Il corrispettivo contrattuale per l’esecuzione della fornitura in oggetto è fissato, come da offerta economica presentata dall’Appaltatore in sede di gara, in misura pari a __</w:t>
      </w:r>
      <w:r w:rsidR="00975979">
        <w:rPr>
          <w:rFonts w:ascii="Titillium Web" w:hAnsi="Titillium Web" w:cstheme="minorHAnsi"/>
          <w:color w:val="000000" w:themeColor="text1"/>
          <w:sz w:val="22"/>
          <w:szCs w:val="22"/>
        </w:rPr>
        <w:t>_</w:t>
      </w: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_, IVA esclusa.  </w:t>
      </w:r>
    </w:p>
    <w:p w14:paraId="187B696C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5 – Revisione dei prezzi</w:t>
      </w:r>
    </w:p>
    <w:p w14:paraId="51880337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Qualora nel corso di esecuzione del contratto, al verificarsi di particolari condizioni di natura oggettiva, si determina una variazione, in aumento o in diminuzione, del costo dei beni superiore al 5%, dell’importo complessivo, su richiesta del Fornitore, i prezzi sono aggiornati, nella misura dell’80% della variazione (solo per la parte eccedente il 5%), in relazione alle prestazioni da eseguire. Ai fini del calcolo della variazione dei prezzi si utilizzano gli elenchi dei prezzi rilevati dall’ISTAT, oppure, qualora i dati suindicati non siano disponibili, la revisione è effettuata in misura non superiore alla differenza tra l’indice Istat dei prezzi al consumo per le famiglie di operai e impiegati, al netto dei tabacchi (c.d. FOI) disponibile al momento della richiesta e quello corrispondente al mese/anno di sottoscrizione del contratto/ultima revisione. Laddove sono presenti prezzi di riferimento ANAC, la revisione è effettuata sulla base dei prezzi standard rilevati dalla Autorità.</w:t>
      </w:r>
    </w:p>
    <w:p w14:paraId="69F02A8C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6 – Fatturazione e pagamenti</w:t>
      </w:r>
    </w:p>
    <w:p w14:paraId="4F80E6DB" w14:textId="692617A2" w:rsidR="002D1FCE" w:rsidRPr="002D1FCE" w:rsidRDefault="002D1FCE" w:rsidP="002D1FCE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>
        <w:rPr>
          <w:rFonts w:ascii="Titillium Web" w:hAnsi="Titillium Web" w:cstheme="minorHAnsi"/>
          <w:color w:val="000000" w:themeColor="text1"/>
          <w:sz w:val="22"/>
          <w:szCs w:val="22"/>
        </w:rPr>
        <w:t xml:space="preserve">I pagamenti saranno effettuati </w:t>
      </w:r>
      <w:r w:rsidRPr="002D1FCE">
        <w:rPr>
          <w:rFonts w:ascii="Titillium Web" w:hAnsi="Titillium Web" w:cstheme="minorHAnsi"/>
          <w:color w:val="000000" w:themeColor="text1"/>
          <w:sz w:val="22"/>
          <w:szCs w:val="22"/>
        </w:rPr>
        <w:t>ai sensi di legge</w:t>
      </w:r>
      <w:r>
        <w:rPr>
          <w:rFonts w:ascii="Titillium Web" w:hAnsi="Titillium Web" w:cstheme="minorHAnsi"/>
          <w:color w:val="000000" w:themeColor="text1"/>
          <w:sz w:val="22"/>
          <w:szCs w:val="22"/>
        </w:rPr>
        <w:t>.</w:t>
      </w:r>
    </w:p>
    <w:p w14:paraId="3D9D2755" w14:textId="011F20B6" w:rsidR="00453B8B" w:rsidRDefault="00B6366E" w:rsidP="002D1FCE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>
        <w:rPr>
          <w:rFonts w:ascii="Titillium Web" w:hAnsi="Titillium Web" w:cstheme="minorHAnsi"/>
          <w:color w:val="000000" w:themeColor="text1"/>
          <w:sz w:val="22"/>
          <w:szCs w:val="22"/>
        </w:rPr>
        <w:lastRenderedPageBreak/>
        <w:t>La f</w:t>
      </w:r>
      <w:r w:rsidR="002D1FCE" w:rsidRPr="002D1FCE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atturazione </w:t>
      </w:r>
      <w:r w:rsidR="002D1FCE">
        <w:rPr>
          <w:rFonts w:ascii="Titillium Web" w:hAnsi="Titillium Web" w:cstheme="minorHAnsi"/>
          <w:color w:val="000000" w:themeColor="text1"/>
          <w:sz w:val="22"/>
          <w:szCs w:val="22"/>
        </w:rPr>
        <w:t>avverrà in</w:t>
      </w:r>
      <w:r w:rsidR="002D1FCE" w:rsidRPr="002D1FCE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seguito </w:t>
      </w:r>
      <w:r>
        <w:rPr>
          <w:rFonts w:ascii="Titillium Web" w:hAnsi="Titillium Web" w:cstheme="minorHAnsi"/>
          <w:color w:val="000000" w:themeColor="text1"/>
          <w:sz w:val="22"/>
          <w:szCs w:val="22"/>
        </w:rPr>
        <w:t>all’</w:t>
      </w:r>
      <w:r w:rsidR="002D1FCE" w:rsidRPr="002D1FCE">
        <w:rPr>
          <w:rFonts w:ascii="Titillium Web" w:hAnsi="Titillium Web" w:cstheme="minorHAnsi"/>
          <w:color w:val="000000" w:themeColor="text1"/>
          <w:sz w:val="22"/>
          <w:szCs w:val="22"/>
        </w:rPr>
        <w:t>esito positivo del collaudo dell'apparecchiatura</w:t>
      </w:r>
      <w:r w:rsidR="002D1FCE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effettuato dall’appaltatore.</w:t>
      </w:r>
    </w:p>
    <w:p w14:paraId="22368BE2" w14:textId="3536E66A" w:rsidR="00672FE3" w:rsidRPr="00453B8B" w:rsidRDefault="00672FE3" w:rsidP="00672FE3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672FE3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La fattura dovrà essere intestata all’Università degli Studi di Napoli Federico II – Dipartimento di Agraria – P.zza Carlo di Borbone n.1, </w:t>
      </w:r>
      <w:r>
        <w:rPr>
          <w:rFonts w:ascii="Titillium Web" w:hAnsi="Titillium Web" w:cstheme="minorHAnsi"/>
          <w:color w:val="000000" w:themeColor="text1"/>
          <w:sz w:val="22"/>
          <w:szCs w:val="22"/>
        </w:rPr>
        <w:t>CAP</w:t>
      </w:r>
      <w:r w:rsidRPr="00672FE3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80055 Portici ed inoltrata mediante il sistema di fatturazione elettronica il cui </w:t>
      </w:r>
      <w:r w:rsidRPr="00FE1D46">
        <w:rPr>
          <w:rFonts w:ascii="Titillium Web" w:hAnsi="Titillium Web" w:cstheme="minorHAnsi"/>
          <w:color w:val="000000" w:themeColor="text1"/>
          <w:sz w:val="22"/>
          <w:szCs w:val="22"/>
        </w:rPr>
        <w:t>CUU (Codice Univoco Ufficio) è Z2N20S.</w:t>
      </w:r>
    </w:p>
    <w:p w14:paraId="50FAC5FD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7 – Tracciabilità dei flussi finanziari</w:t>
      </w:r>
    </w:p>
    <w:p w14:paraId="3F8A5A25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L’Appaltatore è tenuto ad assolvere tutti gli obblighi previsti dall’art. 3 della legge n. 136/2010 al fine di assicurare la tracciabilità dei movimenti finanziari relativi all’appalto. In particolare, l’Appaltatore è tenuto: </w:t>
      </w:r>
    </w:p>
    <w:p w14:paraId="39B1121C" w14:textId="5E93ACDE" w:rsidR="00453B8B" w:rsidRPr="00BC51B9" w:rsidRDefault="00453B8B" w:rsidP="00BC51B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51B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a comunicare alla Stazione appaltante i dati relativi al conto corrente dedicato sul quale saranno effettuati i versamenti dei corrispettivi dell’appalto; </w:t>
      </w:r>
    </w:p>
    <w:p w14:paraId="59109FC0" w14:textId="625BA5BA" w:rsidR="00453B8B" w:rsidRPr="00BC51B9" w:rsidRDefault="00453B8B" w:rsidP="00BC51B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51B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ad effettuare ogni transazione relativa all’appalto avvalendosi di banche o Poste italiane Spa, esclusivamente con strumenti di pagamento consentiti dall’art. 3 della legge 136/2010; </w:t>
      </w:r>
    </w:p>
    <w:p w14:paraId="6DCD71F2" w14:textId="70F1ABAE" w:rsidR="00453B8B" w:rsidRPr="00BC51B9" w:rsidRDefault="00453B8B" w:rsidP="00BC51B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BC51B9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ad utilizzare il CIG nell’ambito dei rapporti con fornitori e prestatori di servizi impiegati nello sviluppo delle prestazioni dell’appalto. </w:t>
      </w:r>
    </w:p>
    <w:p w14:paraId="7D995203" w14:textId="77777777" w:rsidR="00453B8B" w:rsidRPr="00BC2909" w:rsidRDefault="00453B8B" w:rsidP="00BC2909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C2909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 xml:space="preserve">Art. 8 – Subappalto </w:t>
      </w:r>
    </w:p>
    <w:p w14:paraId="7DEC3C17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L’Appaltatore ha dichiarato in sede d’offerta di volersi avvalere della facoltà di subappalto di parte della fornitura, in misura pari a ___</w:t>
      </w:r>
    </w:p>
    <w:p w14:paraId="6ACA3A0F" w14:textId="77777777" w:rsidR="00453B8B" w:rsidRPr="00453B8B" w:rsidRDefault="00453B8B" w:rsidP="00B041A8">
      <w:pPr>
        <w:autoSpaceDE w:val="0"/>
        <w:autoSpaceDN w:val="0"/>
        <w:adjustRightInd w:val="0"/>
        <w:spacing w:before="120" w:after="12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[oppure]</w:t>
      </w:r>
    </w:p>
    <w:p w14:paraId="6B224D74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L’Appaltatore non ha dichiarato in sede di gara di volersi avvalere della facoltà di subappalto. Pertanto, l’operatore non potrà essere autorizzato a subappaltare la fornitura di cui al presente contratto.</w:t>
      </w:r>
    </w:p>
    <w:p w14:paraId="1E024CA9" w14:textId="77777777" w:rsidR="00453B8B" w:rsidRPr="00B041A8" w:rsidRDefault="00453B8B" w:rsidP="00B041A8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041A8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9 – Spese contrattuali e oneri fiscali</w:t>
      </w:r>
    </w:p>
    <w:p w14:paraId="5943AA10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Sono a carico dell'Appaltatore tutte le spese contrattuali, gli oneri fiscali quali imposte e tasse - ivi comprese quelle di registro ove dovute - relative alla stipulazione del contratto nonché ogni altro onere fiscale presente e futuro che per legge non sia inderogabilmente posto a carico della Stazione appaltante.</w:t>
      </w:r>
    </w:p>
    <w:p w14:paraId="13E00A45" w14:textId="77777777" w:rsidR="00453B8B" w:rsidRPr="00B041A8" w:rsidRDefault="00453B8B" w:rsidP="00B041A8">
      <w:pPr>
        <w:autoSpaceDE w:val="0"/>
        <w:autoSpaceDN w:val="0"/>
        <w:adjustRightInd w:val="0"/>
        <w:spacing w:before="240"/>
        <w:jc w:val="both"/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</w:pPr>
      <w:r w:rsidRPr="00B041A8">
        <w:rPr>
          <w:rFonts w:ascii="Titillium Web" w:hAnsi="Titillium Web" w:cstheme="minorHAnsi"/>
          <w:b/>
          <w:bCs/>
          <w:color w:val="000000" w:themeColor="text1"/>
          <w:sz w:val="24"/>
          <w:szCs w:val="24"/>
        </w:rPr>
        <w:t>Art. 10 – Definizione delle controversie</w:t>
      </w:r>
    </w:p>
    <w:p w14:paraId="14F6C678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Per le eventuali controversie che dovessero insorgere sia durante l'esecuzione del contratto che al termine del contratto stesso tra la Stazione appaltante e l’Appaltatore, che non si siano potute definire con l’accordo bonario ai sensi dell’art. 211 del </w:t>
      </w:r>
      <w:proofErr w:type="spellStart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D.Lgs.</w:t>
      </w:r>
      <w:proofErr w:type="spellEnd"/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 xml:space="preserve"> 36/2023, è competente in via esclusiva il Foro di Napoli.</w:t>
      </w:r>
    </w:p>
    <w:p w14:paraId="5A28B56B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</w:p>
    <w:p w14:paraId="66C4C32E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[Data e luogo]</w:t>
      </w:r>
    </w:p>
    <w:p w14:paraId="25809879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</w:p>
    <w:p w14:paraId="51662EDA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Per la Stazione appaltante</w:t>
      </w:r>
    </w:p>
    <w:p w14:paraId="58203351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______________________</w:t>
      </w:r>
    </w:p>
    <w:p w14:paraId="665D8743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</w:p>
    <w:p w14:paraId="2D1AF134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</w:p>
    <w:p w14:paraId="7DA425E3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Per l’Appaltatore</w:t>
      </w:r>
    </w:p>
    <w:p w14:paraId="1D4E790B" w14:textId="77777777" w:rsidR="00453B8B" w:rsidRPr="00453B8B" w:rsidRDefault="00453B8B" w:rsidP="00453B8B">
      <w:pPr>
        <w:autoSpaceDE w:val="0"/>
        <w:autoSpaceDN w:val="0"/>
        <w:adjustRightInd w:val="0"/>
        <w:jc w:val="both"/>
        <w:rPr>
          <w:rFonts w:ascii="Titillium Web" w:hAnsi="Titillium Web" w:cstheme="minorHAnsi"/>
          <w:color w:val="000000" w:themeColor="text1"/>
          <w:sz w:val="22"/>
          <w:szCs w:val="22"/>
        </w:rPr>
      </w:pPr>
      <w:r w:rsidRPr="00453B8B">
        <w:rPr>
          <w:rFonts w:ascii="Titillium Web" w:hAnsi="Titillium Web" w:cstheme="minorHAnsi"/>
          <w:color w:val="000000" w:themeColor="text1"/>
          <w:sz w:val="22"/>
          <w:szCs w:val="22"/>
        </w:rPr>
        <w:t>______________________</w:t>
      </w:r>
    </w:p>
    <w:p w14:paraId="08416BFB" w14:textId="77777777" w:rsidR="003208A8" w:rsidRDefault="003208A8" w:rsidP="001D0F17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2"/>
          <w:szCs w:val="22"/>
        </w:rPr>
      </w:pPr>
    </w:p>
    <w:sectPr w:rsidR="003208A8" w:rsidSect="002E123B">
      <w:headerReference w:type="default" r:id="rId8"/>
      <w:footerReference w:type="default" r:id="rId9"/>
      <w:endnotePr>
        <w:numFmt w:val="decimal"/>
        <w:numStart w:val="3"/>
      </w:endnotePr>
      <w:pgSz w:w="11906" w:h="16838"/>
      <w:pgMar w:top="720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73F1" w14:textId="77777777" w:rsidR="00973FB5" w:rsidRDefault="00973FB5" w:rsidP="009A3B9F">
      <w:r>
        <w:separator/>
      </w:r>
    </w:p>
  </w:endnote>
  <w:endnote w:type="continuationSeparator" w:id="0">
    <w:p w14:paraId="2FA8DB3E" w14:textId="77777777" w:rsidR="00973FB5" w:rsidRDefault="00973FB5" w:rsidP="009A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tillium Web" w:hAnsi="Titillium Web"/>
      </w:rPr>
      <w:id w:val="-180592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F0C03" w14:textId="5129C42B" w:rsidR="00B6366E" w:rsidRPr="00463E00" w:rsidRDefault="00B6366E" w:rsidP="00B6366E">
        <w:pPr>
          <w:pStyle w:val="Pidipagina"/>
          <w:jc w:val="center"/>
          <w:rPr>
            <w:rFonts w:ascii="Titillium Web" w:hAnsi="Titillium Web"/>
          </w:rPr>
        </w:pPr>
        <w:r w:rsidRPr="00463E00">
          <w:rPr>
            <w:rFonts w:ascii="Titillium Web" w:hAnsi="Titillium Web"/>
          </w:rPr>
          <w:fldChar w:fldCharType="begin"/>
        </w:r>
        <w:r w:rsidRPr="00463E00">
          <w:rPr>
            <w:rFonts w:ascii="Titillium Web" w:hAnsi="Titillium Web"/>
          </w:rPr>
          <w:instrText xml:space="preserve"> PAGE   \* MERGEFORMAT </w:instrText>
        </w:r>
        <w:r w:rsidRPr="00463E00">
          <w:rPr>
            <w:rFonts w:ascii="Titillium Web" w:hAnsi="Titillium Web"/>
          </w:rPr>
          <w:fldChar w:fldCharType="separate"/>
        </w:r>
        <w:r w:rsidRPr="00463E00">
          <w:rPr>
            <w:rFonts w:ascii="Titillium Web" w:hAnsi="Titillium Web"/>
            <w:noProof/>
          </w:rPr>
          <w:t>2</w:t>
        </w:r>
        <w:r w:rsidRPr="00463E00">
          <w:rPr>
            <w:rFonts w:ascii="Titillium Web" w:hAnsi="Titillium Web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14D3" w14:textId="77777777" w:rsidR="00973FB5" w:rsidRDefault="00973FB5" w:rsidP="009A3B9F">
      <w:r>
        <w:separator/>
      </w:r>
    </w:p>
  </w:footnote>
  <w:footnote w:type="continuationSeparator" w:id="0">
    <w:p w14:paraId="222697C3" w14:textId="77777777" w:rsidR="00973FB5" w:rsidRDefault="00973FB5" w:rsidP="009A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D855" w14:textId="66FCA51E" w:rsidR="00C41878" w:rsidRPr="00CE4F00" w:rsidRDefault="0080512F" w:rsidP="00CE4F00">
    <w:pPr>
      <w:autoSpaceDE w:val="0"/>
      <w:autoSpaceDN w:val="0"/>
      <w:adjustRightInd w:val="0"/>
      <w:jc w:val="center"/>
      <w:rPr>
        <w:rFonts w:ascii="Titillium Web" w:hAnsi="Titillium Web" w:cstheme="minorHAnsi"/>
        <w:b/>
        <w:color w:val="000000" w:themeColor="text1"/>
        <w:sz w:val="24"/>
        <w:szCs w:val="24"/>
        <w:lang w:val="en-US"/>
      </w:rPr>
    </w:pPr>
    <w:r>
      <w:rPr>
        <w:noProof/>
      </w:rPr>
      <w:drawing>
        <wp:inline distT="0" distB="0" distL="0" distR="0" wp14:anchorId="56105D94" wp14:editId="77E799B4">
          <wp:extent cx="6645910" cy="640715"/>
          <wp:effectExtent l="0" t="0" r="2540" b="6985"/>
          <wp:docPr id="1207627708" name="Immagine 120762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59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AA8D3" wp14:editId="43C86EFE">
              <wp:simplePos x="0" y="0"/>
              <wp:positionH relativeFrom="column">
                <wp:posOffset>-453390</wp:posOffset>
              </wp:positionH>
              <wp:positionV relativeFrom="paragraph">
                <wp:posOffset>-74930</wp:posOffset>
              </wp:positionV>
              <wp:extent cx="13335" cy="9147810"/>
              <wp:effectExtent l="0" t="0" r="5715" b="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3335" cy="9147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FFC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46A9B" id="Line 1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pt,-5.9pt" to="-34.65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" strokecolor="#cfc"/>
          </w:pict>
        </mc:Fallback>
      </mc:AlternateContent>
    </w:r>
    <w:r w:rsidR="00C41878" w:rsidRPr="00C10221">
      <w:rPr>
        <w:b/>
        <w:sz w:val="24"/>
        <w:szCs w:val="24"/>
        <w:lang w:val="en-US"/>
      </w:rPr>
      <w:t xml:space="preserve">                                  </w:t>
    </w:r>
    <w:r w:rsidR="00C41878">
      <w:ptab w:relativeTo="margin" w:alignment="center" w:leader="none"/>
    </w:r>
    <w:r w:rsidR="00C4187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B2"/>
    <w:multiLevelType w:val="hybridMultilevel"/>
    <w:tmpl w:val="396431CC"/>
    <w:lvl w:ilvl="0" w:tplc="EB34AFF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070442"/>
    <w:multiLevelType w:val="hybridMultilevel"/>
    <w:tmpl w:val="DB12F7C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6F3FD9"/>
    <w:multiLevelType w:val="hybridMultilevel"/>
    <w:tmpl w:val="432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4561"/>
    <w:multiLevelType w:val="hybridMultilevel"/>
    <w:tmpl w:val="68DACB9A"/>
    <w:lvl w:ilvl="0" w:tplc="B234FA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6A0"/>
    <w:multiLevelType w:val="hybridMultilevel"/>
    <w:tmpl w:val="7800FD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2C68"/>
    <w:multiLevelType w:val="hybridMultilevel"/>
    <w:tmpl w:val="76DC5200"/>
    <w:lvl w:ilvl="0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2B0B0726"/>
    <w:multiLevelType w:val="hybridMultilevel"/>
    <w:tmpl w:val="2F123BA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B0E15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90A34"/>
    <w:multiLevelType w:val="hybridMultilevel"/>
    <w:tmpl w:val="161445DC"/>
    <w:lvl w:ilvl="0" w:tplc="9C90C91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B67"/>
    <w:multiLevelType w:val="hybridMultilevel"/>
    <w:tmpl w:val="5E508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5685A"/>
    <w:multiLevelType w:val="hybridMultilevel"/>
    <w:tmpl w:val="F0A22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D445C8">
      <w:numFmt w:val="bullet"/>
      <w:lvlText w:val="-"/>
      <w:lvlJc w:val="left"/>
      <w:pPr>
        <w:ind w:left="1980" w:hanging="900"/>
      </w:pPr>
      <w:rPr>
        <w:rFonts w:ascii="Titillium Web" w:eastAsia="Times New Roman" w:hAnsi="Titillium Web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5B59"/>
    <w:multiLevelType w:val="hybridMultilevel"/>
    <w:tmpl w:val="81D2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04F59"/>
    <w:multiLevelType w:val="hybridMultilevel"/>
    <w:tmpl w:val="A25E6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1D61"/>
    <w:multiLevelType w:val="hybridMultilevel"/>
    <w:tmpl w:val="7F765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10704"/>
    <w:multiLevelType w:val="hybridMultilevel"/>
    <w:tmpl w:val="AA949564"/>
    <w:lvl w:ilvl="0" w:tplc="F28A3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071A6"/>
    <w:multiLevelType w:val="hybridMultilevel"/>
    <w:tmpl w:val="6CC66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3924">
    <w:abstractNumId w:val="7"/>
  </w:num>
  <w:num w:numId="2" w16cid:durableId="6754142">
    <w:abstractNumId w:val="14"/>
  </w:num>
  <w:num w:numId="3" w16cid:durableId="477308415">
    <w:abstractNumId w:val="9"/>
  </w:num>
  <w:num w:numId="4" w16cid:durableId="1596206143">
    <w:abstractNumId w:val="6"/>
  </w:num>
  <w:num w:numId="5" w16cid:durableId="1094789747">
    <w:abstractNumId w:val="5"/>
  </w:num>
  <w:num w:numId="6" w16cid:durableId="1689023782">
    <w:abstractNumId w:val="1"/>
  </w:num>
  <w:num w:numId="7" w16cid:durableId="402607893">
    <w:abstractNumId w:val="10"/>
  </w:num>
  <w:num w:numId="8" w16cid:durableId="819083022">
    <w:abstractNumId w:val="13"/>
  </w:num>
  <w:num w:numId="9" w16cid:durableId="1439135364">
    <w:abstractNumId w:val="8"/>
  </w:num>
  <w:num w:numId="10" w16cid:durableId="1740397799">
    <w:abstractNumId w:val="2"/>
  </w:num>
  <w:num w:numId="11" w16cid:durableId="1234776809">
    <w:abstractNumId w:val="3"/>
  </w:num>
  <w:num w:numId="12" w16cid:durableId="764880303">
    <w:abstractNumId w:val="12"/>
  </w:num>
  <w:num w:numId="13" w16cid:durableId="275914016">
    <w:abstractNumId w:val="0"/>
  </w:num>
  <w:num w:numId="14" w16cid:durableId="106697929">
    <w:abstractNumId w:val="4"/>
  </w:num>
  <w:num w:numId="15" w16cid:durableId="12763269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F"/>
    <w:rsid w:val="00004552"/>
    <w:rsid w:val="00016BE9"/>
    <w:rsid w:val="00022590"/>
    <w:rsid w:val="00032FB1"/>
    <w:rsid w:val="00047A22"/>
    <w:rsid w:val="000924FF"/>
    <w:rsid w:val="000A5A98"/>
    <w:rsid w:val="000B3B9B"/>
    <w:rsid w:val="000D4CE0"/>
    <w:rsid w:val="000D5FC7"/>
    <w:rsid w:val="000E6BB2"/>
    <w:rsid w:val="001003EA"/>
    <w:rsid w:val="00111263"/>
    <w:rsid w:val="00112EF4"/>
    <w:rsid w:val="0012477E"/>
    <w:rsid w:val="00135ED6"/>
    <w:rsid w:val="00185099"/>
    <w:rsid w:val="001D0F17"/>
    <w:rsid w:val="001D5E88"/>
    <w:rsid w:val="00202B61"/>
    <w:rsid w:val="002157BD"/>
    <w:rsid w:val="00237657"/>
    <w:rsid w:val="0025211E"/>
    <w:rsid w:val="00253416"/>
    <w:rsid w:val="00291CE1"/>
    <w:rsid w:val="002A3DBE"/>
    <w:rsid w:val="002B5F05"/>
    <w:rsid w:val="002D1FCE"/>
    <w:rsid w:val="002E0656"/>
    <w:rsid w:val="002E123B"/>
    <w:rsid w:val="002E7B3F"/>
    <w:rsid w:val="002F07A1"/>
    <w:rsid w:val="003058E7"/>
    <w:rsid w:val="00305B31"/>
    <w:rsid w:val="00317D3B"/>
    <w:rsid w:val="003208A8"/>
    <w:rsid w:val="00331527"/>
    <w:rsid w:val="00353A57"/>
    <w:rsid w:val="003654B4"/>
    <w:rsid w:val="00371A6D"/>
    <w:rsid w:val="00383A14"/>
    <w:rsid w:val="00386FFA"/>
    <w:rsid w:val="00396527"/>
    <w:rsid w:val="003A5EB7"/>
    <w:rsid w:val="003A7240"/>
    <w:rsid w:val="003B2971"/>
    <w:rsid w:val="003C0DEC"/>
    <w:rsid w:val="003C0EDC"/>
    <w:rsid w:val="003C1844"/>
    <w:rsid w:val="003C31D4"/>
    <w:rsid w:val="003D3111"/>
    <w:rsid w:val="003D5F2C"/>
    <w:rsid w:val="003E1534"/>
    <w:rsid w:val="00421FE6"/>
    <w:rsid w:val="00440320"/>
    <w:rsid w:val="00453B8B"/>
    <w:rsid w:val="00454BB3"/>
    <w:rsid w:val="004635A3"/>
    <w:rsid w:val="00463E00"/>
    <w:rsid w:val="004644EE"/>
    <w:rsid w:val="00474866"/>
    <w:rsid w:val="00481746"/>
    <w:rsid w:val="0049099D"/>
    <w:rsid w:val="00495406"/>
    <w:rsid w:val="004D6D3D"/>
    <w:rsid w:val="004F0BD9"/>
    <w:rsid w:val="005042EA"/>
    <w:rsid w:val="005047CA"/>
    <w:rsid w:val="00506293"/>
    <w:rsid w:val="00511EA2"/>
    <w:rsid w:val="00512AE5"/>
    <w:rsid w:val="00523237"/>
    <w:rsid w:val="00530CF9"/>
    <w:rsid w:val="005565AA"/>
    <w:rsid w:val="00557D60"/>
    <w:rsid w:val="00561253"/>
    <w:rsid w:val="005763B3"/>
    <w:rsid w:val="00580A5B"/>
    <w:rsid w:val="0058146C"/>
    <w:rsid w:val="00584035"/>
    <w:rsid w:val="00584514"/>
    <w:rsid w:val="005861E5"/>
    <w:rsid w:val="005C23E4"/>
    <w:rsid w:val="005D1174"/>
    <w:rsid w:val="005E3E02"/>
    <w:rsid w:val="005F1180"/>
    <w:rsid w:val="005F1D4E"/>
    <w:rsid w:val="00614894"/>
    <w:rsid w:val="00630515"/>
    <w:rsid w:val="00630717"/>
    <w:rsid w:val="006539CF"/>
    <w:rsid w:val="006716CC"/>
    <w:rsid w:val="006718EA"/>
    <w:rsid w:val="00672FE3"/>
    <w:rsid w:val="0068315B"/>
    <w:rsid w:val="00697F58"/>
    <w:rsid w:val="006B001B"/>
    <w:rsid w:val="006E2B28"/>
    <w:rsid w:val="006F7ED4"/>
    <w:rsid w:val="007100C0"/>
    <w:rsid w:val="007177BB"/>
    <w:rsid w:val="00722AA5"/>
    <w:rsid w:val="007330BB"/>
    <w:rsid w:val="007520CF"/>
    <w:rsid w:val="007549CE"/>
    <w:rsid w:val="0077047B"/>
    <w:rsid w:val="00770F4D"/>
    <w:rsid w:val="00773FAF"/>
    <w:rsid w:val="00786493"/>
    <w:rsid w:val="007947ED"/>
    <w:rsid w:val="007A1C68"/>
    <w:rsid w:val="007B2C09"/>
    <w:rsid w:val="007B7645"/>
    <w:rsid w:val="007D1231"/>
    <w:rsid w:val="007D35F8"/>
    <w:rsid w:val="007E3314"/>
    <w:rsid w:val="0080512F"/>
    <w:rsid w:val="0081301C"/>
    <w:rsid w:val="00827826"/>
    <w:rsid w:val="00831374"/>
    <w:rsid w:val="00832D75"/>
    <w:rsid w:val="0087524C"/>
    <w:rsid w:val="008757F1"/>
    <w:rsid w:val="00880CE2"/>
    <w:rsid w:val="00892C35"/>
    <w:rsid w:val="008B1DEF"/>
    <w:rsid w:val="008B3E1D"/>
    <w:rsid w:val="008C48E2"/>
    <w:rsid w:val="008E41F5"/>
    <w:rsid w:val="008E728E"/>
    <w:rsid w:val="00900A8E"/>
    <w:rsid w:val="00905D4A"/>
    <w:rsid w:val="00910FBC"/>
    <w:rsid w:val="00922C6C"/>
    <w:rsid w:val="00931F6E"/>
    <w:rsid w:val="009366E0"/>
    <w:rsid w:val="0095377A"/>
    <w:rsid w:val="00973FB5"/>
    <w:rsid w:val="00975979"/>
    <w:rsid w:val="00984BB9"/>
    <w:rsid w:val="009A3B9F"/>
    <w:rsid w:val="009C0D06"/>
    <w:rsid w:val="009D6AD7"/>
    <w:rsid w:val="00A02E09"/>
    <w:rsid w:val="00A141AC"/>
    <w:rsid w:val="00A2400F"/>
    <w:rsid w:val="00A2647F"/>
    <w:rsid w:val="00A26DDE"/>
    <w:rsid w:val="00A40622"/>
    <w:rsid w:val="00A41F60"/>
    <w:rsid w:val="00A52126"/>
    <w:rsid w:val="00A55040"/>
    <w:rsid w:val="00A648B8"/>
    <w:rsid w:val="00A67D83"/>
    <w:rsid w:val="00A758F8"/>
    <w:rsid w:val="00AC1595"/>
    <w:rsid w:val="00AC4E0B"/>
    <w:rsid w:val="00AC7399"/>
    <w:rsid w:val="00AD5917"/>
    <w:rsid w:val="00B041A8"/>
    <w:rsid w:val="00B065AE"/>
    <w:rsid w:val="00B2421D"/>
    <w:rsid w:val="00B41057"/>
    <w:rsid w:val="00B44657"/>
    <w:rsid w:val="00B62585"/>
    <w:rsid w:val="00B6366E"/>
    <w:rsid w:val="00B8637D"/>
    <w:rsid w:val="00B935A0"/>
    <w:rsid w:val="00B93CC8"/>
    <w:rsid w:val="00B95ACA"/>
    <w:rsid w:val="00B971E2"/>
    <w:rsid w:val="00BA608E"/>
    <w:rsid w:val="00BB465B"/>
    <w:rsid w:val="00BC2909"/>
    <w:rsid w:val="00BC51B9"/>
    <w:rsid w:val="00BC6AF1"/>
    <w:rsid w:val="00BD2E74"/>
    <w:rsid w:val="00BE0107"/>
    <w:rsid w:val="00BF040E"/>
    <w:rsid w:val="00BF79D7"/>
    <w:rsid w:val="00C026EA"/>
    <w:rsid w:val="00C10221"/>
    <w:rsid w:val="00C15FE4"/>
    <w:rsid w:val="00C163A9"/>
    <w:rsid w:val="00C20874"/>
    <w:rsid w:val="00C30F2D"/>
    <w:rsid w:val="00C347F2"/>
    <w:rsid w:val="00C41878"/>
    <w:rsid w:val="00C4457D"/>
    <w:rsid w:val="00C44982"/>
    <w:rsid w:val="00C51D5D"/>
    <w:rsid w:val="00C543D1"/>
    <w:rsid w:val="00C55ADB"/>
    <w:rsid w:val="00C65E7F"/>
    <w:rsid w:val="00C918D9"/>
    <w:rsid w:val="00C97540"/>
    <w:rsid w:val="00C976CD"/>
    <w:rsid w:val="00CA3225"/>
    <w:rsid w:val="00CB1864"/>
    <w:rsid w:val="00CB68BA"/>
    <w:rsid w:val="00CB70C2"/>
    <w:rsid w:val="00CB7F95"/>
    <w:rsid w:val="00CC36BA"/>
    <w:rsid w:val="00CC77E9"/>
    <w:rsid w:val="00CE4F00"/>
    <w:rsid w:val="00CF03E5"/>
    <w:rsid w:val="00D12BF1"/>
    <w:rsid w:val="00D159D0"/>
    <w:rsid w:val="00D32BC2"/>
    <w:rsid w:val="00D337C1"/>
    <w:rsid w:val="00D36111"/>
    <w:rsid w:val="00D46769"/>
    <w:rsid w:val="00D56AFE"/>
    <w:rsid w:val="00D614BD"/>
    <w:rsid w:val="00D64D10"/>
    <w:rsid w:val="00D707A4"/>
    <w:rsid w:val="00D7167C"/>
    <w:rsid w:val="00D71A57"/>
    <w:rsid w:val="00D976E3"/>
    <w:rsid w:val="00DA184F"/>
    <w:rsid w:val="00DB3F4B"/>
    <w:rsid w:val="00DB5FDF"/>
    <w:rsid w:val="00DD448B"/>
    <w:rsid w:val="00DD7393"/>
    <w:rsid w:val="00DE1A34"/>
    <w:rsid w:val="00DF696C"/>
    <w:rsid w:val="00E166E0"/>
    <w:rsid w:val="00E21147"/>
    <w:rsid w:val="00E216A1"/>
    <w:rsid w:val="00E3161A"/>
    <w:rsid w:val="00E32F59"/>
    <w:rsid w:val="00E4217D"/>
    <w:rsid w:val="00E4735F"/>
    <w:rsid w:val="00E539B3"/>
    <w:rsid w:val="00E555B1"/>
    <w:rsid w:val="00E60E0B"/>
    <w:rsid w:val="00E7090E"/>
    <w:rsid w:val="00E717D4"/>
    <w:rsid w:val="00E804D4"/>
    <w:rsid w:val="00E817B1"/>
    <w:rsid w:val="00E954C6"/>
    <w:rsid w:val="00ED3B9E"/>
    <w:rsid w:val="00EE2A34"/>
    <w:rsid w:val="00EE2B89"/>
    <w:rsid w:val="00EF2EA1"/>
    <w:rsid w:val="00EF5E8C"/>
    <w:rsid w:val="00F17A5B"/>
    <w:rsid w:val="00F44BB9"/>
    <w:rsid w:val="00F51011"/>
    <w:rsid w:val="00F51844"/>
    <w:rsid w:val="00F67AF0"/>
    <w:rsid w:val="00F73B24"/>
    <w:rsid w:val="00F831E9"/>
    <w:rsid w:val="00FB3987"/>
    <w:rsid w:val="00FB3B4B"/>
    <w:rsid w:val="00FD3813"/>
    <w:rsid w:val="00FD53EB"/>
    <w:rsid w:val="00FD6322"/>
    <w:rsid w:val="00FE1D46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697E"/>
  <w15:chartTrackingRefBased/>
  <w15:docId w15:val="{0E6545DC-3A56-4C32-A803-A17035A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B3F4B"/>
    <w:pPr>
      <w:keepNext/>
      <w:keepLines/>
      <w:spacing w:after="113" w:line="270" w:lineRule="auto"/>
      <w:ind w:left="10" w:right="59" w:hanging="10"/>
      <w:jc w:val="both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0E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B3F4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A3B9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3B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A3B9F"/>
    <w:rPr>
      <w:rFonts w:cs="Times New Roman"/>
      <w:vertAlign w:val="superscript"/>
    </w:rPr>
  </w:style>
  <w:style w:type="paragraph" w:customStyle="1" w:styleId="Default">
    <w:name w:val="Default"/>
    <w:rsid w:val="009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1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41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8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Elenco 1,Paragrafo elenco livello 1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rsid w:val="00E216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35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5A3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5FC7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5F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5FC7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D1174"/>
    <w:rPr>
      <w:color w:val="808080"/>
    </w:rPr>
  </w:style>
  <w:style w:type="character" w:styleId="Enfasidelicata">
    <w:name w:val="Subtle Emphasis"/>
    <w:basedOn w:val="Carpredefinitoparagrafo"/>
    <w:uiPriority w:val="19"/>
    <w:qFormat/>
    <w:rsid w:val="00E954C6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3F4B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3F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B3F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3F4B"/>
    <w:pPr>
      <w:spacing w:after="1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3F4B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3F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3F4B"/>
    <w:rPr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B3F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j-testo-evidenziato">
    <w:name w:val="dj-testo-evidenziato"/>
    <w:basedOn w:val="Carpredefinitoparagrafo"/>
    <w:rsid w:val="00DB3F4B"/>
  </w:style>
  <w:style w:type="paragraph" w:styleId="Revisione">
    <w:name w:val="Revision"/>
    <w:hidden/>
    <w:uiPriority w:val="99"/>
    <w:semiHidden/>
    <w:rsid w:val="00DB3F4B"/>
    <w:pPr>
      <w:spacing w:after="0" w:line="240" w:lineRule="auto"/>
    </w:pPr>
    <w:rPr>
      <w:lang w:val="en-US"/>
    </w:rPr>
  </w:style>
  <w:style w:type="character" w:customStyle="1" w:styleId="ParagrafoelencoCarattere">
    <w:name w:val="Paragrafo elenco Carattere"/>
    <w:aliases w:val="Elenco 1 Carattere,Paragrafo elenco livello 1 Carattere,Bullet edison Carattere,Paragrafo elenco 2 Carattere,Bullet List Carattere,FooterText Carattere,numbered Carattere,Paragraphe de liste1 Carattere,列出段落 Carattere"/>
    <w:link w:val="Paragrafoelenco"/>
    <w:uiPriority w:val="34"/>
    <w:locked/>
    <w:rsid w:val="00DB3F4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PlainTable11">
    <w:name w:val="Plain Table 11"/>
    <w:basedOn w:val="Tabellanormale"/>
    <w:next w:val="Tabellasemplice-1"/>
    <w:uiPriority w:val="41"/>
    <w:rsid w:val="00DB3F4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1">
    <w:name w:val="Plain Table 1"/>
    <w:basedOn w:val="Tabellanormale"/>
    <w:uiPriority w:val="41"/>
    <w:rsid w:val="00DB3F4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DB3F4B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B3F4B"/>
    <w:pPr>
      <w:tabs>
        <w:tab w:val="right" w:leader="dot" w:pos="9350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DB3F4B"/>
    <w:pPr>
      <w:tabs>
        <w:tab w:val="left" w:pos="1100"/>
        <w:tab w:val="right" w:leader="dot" w:pos="9350"/>
      </w:tabs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0E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0EDC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0ED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C673-215C-477C-81D8-FBF701B1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GIANNINO</dc:creator>
  <cp:keywords/>
  <dc:description/>
  <cp:lastModifiedBy>GIOVANNI CASTALDO</cp:lastModifiedBy>
  <cp:revision>17</cp:revision>
  <cp:lastPrinted>2023-07-04T11:07:00Z</cp:lastPrinted>
  <dcterms:created xsi:type="dcterms:W3CDTF">2023-09-25T15:19:00Z</dcterms:created>
  <dcterms:modified xsi:type="dcterms:W3CDTF">2023-11-09T12:31:00Z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2023-05-04T08:59:03Z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35238068-8954-4fec-9509-9dc0dc732d34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2023-09-22T13:58:54Z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93341d7c-6692-4622-a541-f8d43602912d</vt:lpwstr>
  </property>
  <property fmtid="{D5CDD505-2E9C-101B-9397-08002B2CF9AE}" pid="15" name="MSIP_Label_ea60d57e-af5b-4752-ac57-3e4f28ca11dc_ContentBits">
    <vt:lpwstr>0</vt:lpwstr>
  </property>
</Properties>
</file>