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0484E274"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57767A">
        <w:rPr>
          <w:rFonts w:ascii="Times New Roman" w:hAnsi="Times New Roman" w:cs="Times New Roman"/>
        </w:rPr>
        <w:t>1</w:t>
      </w:r>
      <w:r w:rsidR="007470E5">
        <w:rPr>
          <w:rFonts w:ascii="Times New Roman" w:hAnsi="Times New Roman" w:cs="Times New Roman"/>
        </w:rPr>
        <w:t>38</w:t>
      </w:r>
    </w:p>
    <w:p w14:paraId="57D4BF16" w14:textId="2CD82883"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A21082">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471AF120" w:rsidR="00DF1637" w:rsidRPr="00F3509F" w:rsidRDefault="00C20267" w:rsidP="00C20267">
      <w:pPr>
        <w:tabs>
          <w:tab w:val="left" w:pos="6420"/>
        </w:tabs>
      </w:pPr>
      <w:r w:rsidRPr="00F3509F">
        <w:t>Affidamento della fornitura di:</w:t>
      </w:r>
      <w:r w:rsidR="00A02179">
        <w:t xml:space="preserve"> </w:t>
      </w:r>
      <w:r w:rsidR="004A4365">
        <w:t>Materiale cancelleria</w:t>
      </w:r>
    </w:p>
    <w:p w14:paraId="57D4BF1E" w14:textId="400A2A23" w:rsidR="00C20267" w:rsidRPr="00F3509F" w:rsidRDefault="00C20267" w:rsidP="00C20267">
      <w:pPr>
        <w:tabs>
          <w:tab w:val="left" w:pos="6420"/>
        </w:tabs>
      </w:pPr>
      <w:r w:rsidRPr="00F3509F">
        <w:t>CIG:</w:t>
      </w:r>
      <w:r w:rsidR="00461F19" w:rsidRPr="00F3509F">
        <w:t xml:space="preserve"> </w:t>
      </w:r>
      <w:r w:rsidR="00595DF8">
        <w:rPr>
          <w:rFonts w:ascii="TitilliumWeb-Regular" w:hAnsi="TitilliumWeb-Regular" w:cs="TitilliumWeb-Regular"/>
          <w:sz w:val="20"/>
          <w:szCs w:val="20"/>
        </w:rPr>
        <w:t>Z1939D164C</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059BACD4"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proofErr w:type="gramStart"/>
      <w:r w:rsidR="00A22961" w:rsidRPr="003C1D87">
        <w:rPr>
          <w:rFonts w:cs="Arial"/>
          <w:color w:val="333333"/>
          <w:shd w:val="clear" w:color="auto" w:fill="FFFFFF"/>
        </w:rPr>
        <w:t xml:space="preserve">Prof </w:t>
      </w:r>
      <w:r w:rsidR="00771CB1">
        <w:rPr>
          <w:rFonts w:cs="Arial"/>
          <w:color w:val="333333"/>
          <w:shd w:val="clear" w:color="auto" w:fill="FFFFFF"/>
        </w:rPr>
        <w:t>.</w:t>
      </w:r>
      <w:proofErr w:type="gramEnd"/>
      <w:r w:rsidR="00771CB1">
        <w:rPr>
          <w:rFonts w:cs="Arial"/>
          <w:color w:val="333333"/>
          <w:shd w:val="clear" w:color="auto" w:fill="FFFFFF"/>
        </w:rPr>
        <w:t xml:space="preserve"> </w:t>
      </w:r>
      <w:r w:rsidR="007470E5">
        <w:rPr>
          <w:rFonts w:cs="Arial"/>
          <w:color w:val="333333"/>
          <w:shd w:val="clear" w:color="auto" w:fill="FFFFFF"/>
        </w:rPr>
        <w:t>Di Lo</w:t>
      </w:r>
      <w:r w:rsidR="00B32DD0">
        <w:rPr>
          <w:rFonts w:cs="Arial"/>
          <w:color w:val="333333"/>
          <w:shd w:val="clear" w:color="auto" w:fill="FFFFFF"/>
        </w:rPr>
        <w:t>ri</w:t>
      </w:r>
      <w:r w:rsidR="007470E5">
        <w:rPr>
          <w:rFonts w:cs="Arial"/>
          <w:color w:val="333333"/>
          <w:shd w:val="clear" w:color="auto" w:fill="FFFFFF"/>
        </w:rPr>
        <w:t>a Antonio</w:t>
      </w:r>
      <w:r w:rsidR="008721AE">
        <w:rPr>
          <w:rFonts w:cs="Arial"/>
          <w:color w:val="333333"/>
          <w:shd w:val="clear" w:color="auto" w:fill="FFFFFF"/>
        </w:rPr>
        <w:t xml:space="preserve"> in data </w:t>
      </w:r>
      <w:r w:rsidR="00E175E8">
        <w:rPr>
          <w:rFonts w:cs="Arial"/>
          <w:color w:val="333333"/>
          <w:shd w:val="clear" w:color="auto" w:fill="FFFFFF"/>
        </w:rPr>
        <w:t>1</w:t>
      </w:r>
      <w:r w:rsidR="00E31697">
        <w:rPr>
          <w:rFonts w:cs="Arial"/>
          <w:color w:val="333333"/>
          <w:shd w:val="clear" w:color="auto" w:fill="FFFFFF"/>
        </w:rPr>
        <w:t>7</w:t>
      </w:r>
      <w:r w:rsidR="008721AE">
        <w:rPr>
          <w:rFonts w:cs="Arial"/>
          <w:color w:val="333333"/>
          <w:shd w:val="clear" w:color="auto" w:fill="FFFFFF"/>
        </w:rPr>
        <w:t>/02</w:t>
      </w:r>
      <w:r w:rsidR="00C60270">
        <w:rPr>
          <w:rFonts w:cs="Arial"/>
          <w:color w:val="333333"/>
          <w:shd w:val="clear" w:color="auto" w:fill="FFFFFF"/>
        </w:rPr>
        <w:t>/2023</w:t>
      </w:r>
      <w:r w:rsidR="008229F0" w:rsidRPr="003C1D87">
        <w:rPr>
          <w:rFonts w:cs="Arial"/>
          <w:color w:val="333333"/>
          <w:shd w:val="clear" w:color="auto" w:fill="FFFFFF"/>
        </w:rPr>
        <w:t>-</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il Prof.</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2EDAA844"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r w:rsidR="00032450">
        <w:rPr>
          <w:rFonts w:cs="Arial"/>
          <w:color w:val="333333"/>
          <w:shd w:val="clear" w:color="auto" w:fill="FFFFFF"/>
        </w:rPr>
        <w:t>chiedendo cinque offerte</w:t>
      </w:r>
      <w:r w:rsidR="000339EE">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26DE54B1" w14:textId="77777777" w:rsidR="007C769B" w:rsidRDefault="007C769B" w:rsidP="00C20267">
      <w:pPr>
        <w:jc w:val="both"/>
        <w:rPr>
          <w:rFonts w:cs="Arial"/>
          <w:b/>
          <w:color w:val="333333"/>
          <w:shd w:val="clear" w:color="auto" w:fill="FFFFFF"/>
        </w:rPr>
      </w:pPr>
    </w:p>
    <w:p w14:paraId="24EC2DFC" w14:textId="77777777" w:rsidR="007C769B" w:rsidRDefault="007C769B" w:rsidP="00C20267">
      <w:pPr>
        <w:jc w:val="both"/>
        <w:rPr>
          <w:rFonts w:cs="Arial"/>
          <w:b/>
          <w:color w:val="333333"/>
          <w:shd w:val="clear" w:color="auto" w:fill="FFFFFF"/>
        </w:rPr>
      </w:pPr>
    </w:p>
    <w:p w14:paraId="6B94FB3B" w14:textId="77777777" w:rsidR="007C769B" w:rsidRDefault="007C769B" w:rsidP="00C20267">
      <w:pPr>
        <w:jc w:val="both"/>
        <w:rPr>
          <w:rFonts w:cs="Arial"/>
          <w:b/>
          <w:color w:val="333333"/>
          <w:shd w:val="clear" w:color="auto" w:fill="FFFFFF"/>
        </w:rPr>
      </w:pPr>
    </w:p>
    <w:p w14:paraId="69DC11D2" w14:textId="77777777" w:rsidR="007C769B" w:rsidRDefault="007C769B" w:rsidP="00C20267">
      <w:pPr>
        <w:jc w:val="both"/>
        <w:rPr>
          <w:rFonts w:cs="Arial"/>
          <w:b/>
          <w:color w:val="333333"/>
          <w:shd w:val="clear" w:color="auto" w:fill="FFFFFF"/>
        </w:rPr>
      </w:pPr>
    </w:p>
    <w:p w14:paraId="558DF110" w14:textId="77777777" w:rsidR="007C769B" w:rsidRDefault="007C769B" w:rsidP="00C20267">
      <w:pPr>
        <w:jc w:val="both"/>
        <w:rPr>
          <w:rFonts w:cs="Arial"/>
          <w:b/>
          <w:color w:val="333333"/>
          <w:shd w:val="clear" w:color="auto" w:fill="FFFFFF"/>
        </w:rPr>
      </w:pPr>
    </w:p>
    <w:p w14:paraId="57D4BF30" w14:textId="3AA48BA4"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3E13CBEC"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che</w:t>
      </w:r>
      <w:proofErr w:type="gramEnd"/>
      <w:r w:rsidRPr="00AF1CCE">
        <w:rPr>
          <w:rFonts w:cs="Arial"/>
          <w:color w:val="333333"/>
          <w:shd w:val="clear" w:color="auto" w:fill="FFFFFF"/>
        </w:rPr>
        <w:t xml:space="preserv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B05D4A">
        <w:rPr>
          <w:rFonts w:cs="Arial"/>
          <w:color w:val="333333"/>
          <w:shd w:val="clear" w:color="auto" w:fill="FFFFFF"/>
        </w:rPr>
        <w:t xml:space="preserve"> </w:t>
      </w:r>
      <w:r w:rsidR="00B05D4A" w:rsidRPr="00B05D4A">
        <w:rPr>
          <w:rFonts w:cs="Arial"/>
          <w:color w:val="333333"/>
          <w:shd w:val="clear" w:color="auto" w:fill="FFFFFF"/>
        </w:rPr>
        <w:t>PARTENOPE FORNITURE UFFICIO S.R.L.</w:t>
      </w:r>
      <w:r w:rsidR="00032450" w:rsidRPr="00032450">
        <w:t xml:space="preserve"> </w:t>
      </w:r>
      <w:r w:rsidRPr="00AF1CCE">
        <w:rPr>
          <w:rFonts w:cs="Arial"/>
          <w:color w:val="333333"/>
          <w:shd w:val="clear" w:color="auto" w:fill="FFFFFF"/>
        </w:rPr>
        <w:t xml:space="preserve">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E31697">
        <w:rPr>
          <w:rFonts w:cs="Arial"/>
          <w:color w:val="333333"/>
          <w:shd w:val="clear" w:color="auto" w:fill="FFFFFF"/>
        </w:rPr>
        <w:t xml:space="preserve"> </w:t>
      </w:r>
      <w:r w:rsidR="00CF5955">
        <w:rPr>
          <w:rFonts w:cs="Arial"/>
          <w:color w:val="333333"/>
          <w:shd w:val="clear" w:color="auto" w:fill="FFFFFF"/>
        </w:rPr>
        <w:t>999,00</w:t>
      </w:r>
      <w:r w:rsidR="0057767A">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0339EE">
        <w:rPr>
          <w:rFonts w:cs="Arial"/>
          <w:color w:val="333333"/>
          <w:shd w:val="clear" w:color="auto" w:fill="FFFFFF"/>
        </w:rPr>
        <w:t>Trattativa n.</w:t>
      </w:r>
      <w:r w:rsidR="00D01F59">
        <w:rPr>
          <w:rFonts w:cs="Arial"/>
          <w:color w:val="333333"/>
          <w:shd w:val="clear" w:color="auto" w:fill="FFFFFF"/>
        </w:rPr>
        <w:t>3422792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0046BF9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D3720E" w:rsidRPr="00D3720E">
        <w:rPr>
          <w:rFonts w:cs="Arial"/>
          <w:color w:val="333333"/>
          <w:shd w:val="clear" w:color="auto" w:fill="FFFFFF"/>
        </w:rPr>
        <w:t>-</w:t>
      </w:r>
      <w:r w:rsidR="00B05D4A" w:rsidRPr="00B05D4A">
        <w:rPr>
          <w:rFonts w:cs="Arial"/>
          <w:color w:val="333333"/>
          <w:shd w:val="clear" w:color="auto" w:fill="FFFFFF"/>
        </w:rPr>
        <w:t>PARTENOPE FORNITURE UFFICIO S.R.L.</w:t>
      </w:r>
      <w:r w:rsidR="00B05D4A">
        <w:rPr>
          <w:rFonts w:cs="Arial"/>
          <w:color w:val="333333"/>
          <w:shd w:val="clear" w:color="auto" w:fill="FFFFFF"/>
        </w:rPr>
        <w:t xml:space="preserve"> </w:t>
      </w:r>
      <w:r w:rsidR="00776FCF" w:rsidRPr="00776FCF">
        <w:t xml:space="preserve"> </w:t>
      </w:r>
      <w:r w:rsidR="00BA2D60">
        <w:rPr>
          <w:rFonts w:cs="Arial"/>
          <w:color w:val="333333"/>
          <w:shd w:val="clear" w:color="auto" w:fill="FFFFFF"/>
        </w:rPr>
        <w:t>P. IVA n</w:t>
      </w:r>
      <w:r w:rsidR="00D00C80"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00776FCF" w:rsidRPr="00776FCF">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w:t>
      </w:r>
      <w:proofErr w:type="gramEnd"/>
      <w:r w:rsidR="00EF45B7" w:rsidRPr="00AF1CCE">
        <w:rPr>
          <w:rFonts w:cs="Arial"/>
          <w:color w:val="333333"/>
          <w:shd w:val="clear" w:color="auto" w:fill="FFFFFF"/>
        </w:rPr>
        <w:t xml:space="preserve">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3A68D161"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Affidamento diretto all’azienda</w:t>
      </w:r>
      <w:r w:rsidR="00D01F59" w:rsidRPr="00D01F59">
        <w:rPr>
          <w:rFonts w:cs="Arial"/>
          <w:color w:val="333333"/>
          <w:shd w:val="clear" w:color="auto" w:fill="FFFFFF"/>
        </w:rPr>
        <w:t xml:space="preserve"> </w:t>
      </w:r>
      <w:r w:rsidR="00D01F59" w:rsidRPr="00B05D4A">
        <w:rPr>
          <w:rFonts w:cs="Arial"/>
          <w:color w:val="333333"/>
          <w:shd w:val="clear" w:color="auto" w:fill="FFFFFF"/>
        </w:rPr>
        <w:t>PARTENOPE FORNITURE UFFICIO S.R.L.</w:t>
      </w:r>
      <w:r w:rsidR="00D01F59">
        <w:rPr>
          <w:rFonts w:cs="Arial"/>
          <w:color w:val="333333"/>
          <w:shd w:val="clear" w:color="auto" w:fill="FFFFFF"/>
        </w:rPr>
        <w:t xml:space="preserve"> </w:t>
      </w:r>
      <w:r w:rsidR="00D01F59" w:rsidRPr="00776FCF">
        <w:t xml:space="preserve"> </w:t>
      </w:r>
      <w:r w:rsidR="00D01F59">
        <w:rPr>
          <w:rFonts w:cs="Arial"/>
          <w:color w:val="333333"/>
          <w:shd w:val="clear" w:color="auto" w:fill="FFFFFF"/>
        </w:rPr>
        <w:t>P. IVA n</w:t>
      </w:r>
      <w:r w:rsidR="00D01F59"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l’importo di </w:t>
      </w:r>
      <w:r w:rsidR="00E31697">
        <w:rPr>
          <w:rFonts w:cs="Arial"/>
          <w:color w:val="333333"/>
          <w:shd w:val="clear" w:color="auto" w:fill="FFFFFF"/>
        </w:rPr>
        <w:t xml:space="preserve">€ </w:t>
      </w:r>
      <w:r w:rsidR="00CF5955">
        <w:rPr>
          <w:rFonts w:cs="Arial"/>
          <w:color w:val="333333"/>
          <w:shd w:val="clear" w:color="auto" w:fill="FFFFFF"/>
        </w:rPr>
        <w:t>1.218,78</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78492926" w:rsidR="00741E36" w:rsidRPr="00AF1CCE" w:rsidRDefault="00741E36" w:rsidP="00ED3405">
      <w:pPr>
        <w:tabs>
          <w:tab w:val="left" w:pos="6420"/>
        </w:tabs>
        <w:jc w:val="both"/>
      </w:pPr>
      <w:r w:rsidRPr="00AF1CCE">
        <w:rPr>
          <w:rFonts w:cs="Arial"/>
          <w:color w:val="333333"/>
          <w:shd w:val="clear" w:color="auto" w:fill="FFFFFF"/>
        </w:rPr>
        <w:t>Napoli, il</w:t>
      </w:r>
      <w:r w:rsidR="00F66773">
        <w:rPr>
          <w:rFonts w:cs="Arial"/>
          <w:color w:val="333333"/>
          <w:shd w:val="clear" w:color="auto" w:fill="FFFFFF"/>
        </w:rPr>
        <w:t xml:space="preserve"> </w:t>
      </w:r>
      <w:r w:rsidR="00150A1C">
        <w:rPr>
          <w:rFonts w:cs="Arial"/>
          <w:color w:val="333333"/>
          <w:shd w:val="clear" w:color="auto" w:fill="FFFFFF"/>
        </w:rPr>
        <w:t>17</w:t>
      </w:r>
      <w:r w:rsidR="00FF353C">
        <w:rPr>
          <w:rFonts w:cs="Arial"/>
          <w:color w:val="333333"/>
          <w:shd w:val="clear" w:color="auto" w:fill="FFFFFF"/>
        </w:rPr>
        <w:t>/02</w:t>
      </w:r>
      <w:r w:rsidR="00F66773">
        <w:rPr>
          <w:rFonts w:cs="Arial"/>
          <w:color w:val="333333"/>
          <w:shd w:val="clear" w:color="auto" w:fill="FFFFFF"/>
        </w:rPr>
        <w:t>/2023</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55"/>
        <w:gridCol w:w="1950"/>
        <w:gridCol w:w="64"/>
        <w:gridCol w:w="1222"/>
        <w:gridCol w:w="3770"/>
        <w:gridCol w:w="146"/>
        <w:gridCol w:w="758"/>
        <w:gridCol w:w="816"/>
        <w:gridCol w:w="661"/>
        <w:gridCol w:w="868"/>
        <w:gridCol w:w="1142"/>
        <w:gridCol w:w="866"/>
      </w:tblGrid>
      <w:tr w:rsidR="0060664B" w:rsidRPr="00CF791E" w14:paraId="57D4BFA9" w14:textId="77777777" w:rsidTr="00F84030">
        <w:trPr>
          <w:trHeight w:val="645"/>
          <w:jc w:val="center"/>
        </w:trPr>
        <w:tc>
          <w:tcPr>
            <w:tcW w:w="3014"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5378CFE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5F4A7B">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84"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84"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0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0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F8403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67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6"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95"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84"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0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0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F8403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67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6"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95"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84"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57767A">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793E8E04"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F4719">
              <w:rPr>
                <w:rFonts w:ascii="Calibri" w:eastAsia="Times New Roman" w:hAnsi="Calibri" w:cs="Calibri"/>
                <w:b/>
                <w:color w:val="000000"/>
              </w:rPr>
              <w:t>.</w:t>
            </w:r>
            <w:r w:rsidR="0057767A">
              <w:rPr>
                <w:rFonts w:ascii="Calibri" w:eastAsia="Times New Roman" w:hAnsi="Calibri" w:cs="Calibri"/>
                <w:b/>
                <w:color w:val="000000"/>
              </w:rPr>
              <w:t>1</w:t>
            </w:r>
            <w:r w:rsidR="00CF5955">
              <w:rPr>
                <w:rFonts w:ascii="Calibri" w:eastAsia="Times New Roman" w:hAnsi="Calibri" w:cs="Calibri"/>
                <w:b/>
                <w:color w:val="000000"/>
              </w:rPr>
              <w:t>38</w:t>
            </w:r>
          </w:p>
        </w:tc>
        <w:tc>
          <w:tcPr>
            <w:tcW w:w="342" w:type="pct"/>
            <w:tcBorders>
              <w:top w:val="single" w:sz="8" w:space="0" w:color="auto"/>
              <w:left w:val="nil"/>
              <w:bottom w:val="single" w:sz="8" w:space="0" w:color="auto"/>
              <w:right w:val="single" w:sz="4" w:space="0" w:color="auto"/>
            </w:tcBorders>
            <w:shd w:val="clear" w:color="auto" w:fill="auto"/>
          </w:tcPr>
          <w:p w14:paraId="57D4BFCE" w14:textId="0C5965FC" w:rsidR="00CF791E" w:rsidRPr="00097A71" w:rsidRDefault="007547E5" w:rsidP="00CF791E">
            <w:pPr>
              <w:rPr>
                <w:rFonts w:ascii="Calibri" w:eastAsia="Times New Roman" w:hAnsi="Calibri" w:cs="Calibri"/>
                <w:b/>
                <w:color w:val="000000"/>
              </w:rPr>
            </w:pPr>
            <w:r>
              <w:rPr>
                <w:rFonts w:ascii="Calibri" w:eastAsia="Times New Roman" w:hAnsi="Calibri" w:cs="Calibri"/>
                <w:b/>
                <w:color w:val="000000"/>
              </w:rPr>
              <w:t>904,02</w:t>
            </w:r>
          </w:p>
        </w:tc>
        <w:tc>
          <w:tcPr>
            <w:tcW w:w="670" w:type="pct"/>
            <w:tcBorders>
              <w:top w:val="single" w:sz="8" w:space="0" w:color="auto"/>
              <w:left w:val="nil"/>
              <w:bottom w:val="single" w:sz="8" w:space="0" w:color="auto"/>
              <w:right w:val="single" w:sz="4" w:space="0" w:color="auto"/>
            </w:tcBorders>
            <w:shd w:val="clear" w:color="auto" w:fill="auto"/>
          </w:tcPr>
          <w:p w14:paraId="57D4BFCF" w14:textId="236A0730" w:rsidR="000E7398" w:rsidRPr="00097A71" w:rsidRDefault="00AC29ED" w:rsidP="00CF791E">
            <w:pPr>
              <w:rPr>
                <w:rFonts w:ascii="Calibri" w:eastAsia="Times New Roman" w:hAnsi="Calibri" w:cs="Calibri"/>
                <w:b/>
                <w:color w:val="000000"/>
              </w:rPr>
            </w:pPr>
            <w:r w:rsidRPr="00AC29ED">
              <w:rPr>
                <w:rFonts w:ascii="Calibri" w:eastAsia="Times New Roman" w:hAnsi="Calibri" w:cs="Calibri"/>
                <w:b/>
                <w:color w:val="000000"/>
              </w:rPr>
              <w:t>CA.04.41.02.01.02</w:t>
            </w:r>
          </w:p>
        </w:tc>
        <w:tc>
          <w:tcPr>
            <w:tcW w:w="446" w:type="pct"/>
            <w:gridSpan w:val="2"/>
            <w:tcBorders>
              <w:top w:val="single" w:sz="8" w:space="0" w:color="auto"/>
              <w:left w:val="nil"/>
              <w:bottom w:val="single" w:sz="8" w:space="0" w:color="auto"/>
              <w:right w:val="single" w:sz="4" w:space="0" w:color="auto"/>
            </w:tcBorders>
            <w:shd w:val="clear" w:color="auto" w:fill="auto"/>
          </w:tcPr>
          <w:p w14:paraId="57D4BFD0" w14:textId="7CE8B966" w:rsidR="00684BF0" w:rsidRPr="00097A71" w:rsidRDefault="00BD370F" w:rsidP="00CF791E">
            <w:pPr>
              <w:rPr>
                <w:rFonts w:ascii="Calibri" w:eastAsia="Times New Roman" w:hAnsi="Calibri" w:cs="Calibri"/>
                <w:b/>
                <w:color w:val="000000"/>
              </w:rPr>
            </w:pPr>
            <w:r w:rsidRPr="00BD370F">
              <w:rPr>
                <w:rFonts w:ascii="Calibri" w:eastAsia="Times New Roman" w:hAnsi="Calibri" w:cs="Calibri"/>
                <w:b/>
                <w:color w:val="000000"/>
              </w:rPr>
              <w:t>Cancelleria e altro materiale di consumo</w:t>
            </w:r>
          </w:p>
        </w:tc>
        <w:tc>
          <w:tcPr>
            <w:tcW w:w="1095" w:type="pct"/>
            <w:tcBorders>
              <w:top w:val="single" w:sz="4" w:space="0" w:color="auto"/>
              <w:left w:val="nil"/>
              <w:bottom w:val="single" w:sz="4" w:space="0" w:color="auto"/>
              <w:right w:val="single" w:sz="4" w:space="0" w:color="auto"/>
            </w:tcBorders>
            <w:shd w:val="clear" w:color="auto" w:fill="auto"/>
            <w:noWrap/>
          </w:tcPr>
          <w:p w14:paraId="57D4BFD1" w14:textId="27D994B3" w:rsidR="00CF791E" w:rsidRPr="00097A71" w:rsidRDefault="006A4DF6" w:rsidP="00CF791E">
            <w:pPr>
              <w:rPr>
                <w:rFonts w:ascii="Verdana" w:eastAsia="Times New Roman" w:hAnsi="Verdana" w:cs="Calibri"/>
                <w:b/>
                <w:color w:val="333333"/>
                <w:sz w:val="18"/>
                <w:szCs w:val="18"/>
              </w:rPr>
            </w:pPr>
            <w:r w:rsidRPr="006A4DF6">
              <w:rPr>
                <w:rFonts w:ascii="Verdana" w:eastAsia="Times New Roman" w:hAnsi="Verdana" w:cs="Calibri"/>
                <w:b/>
                <w:color w:val="333333"/>
                <w:sz w:val="18"/>
                <w:szCs w:val="18"/>
              </w:rPr>
              <w:t>000019--ALTRI_CdA_54_2020_FRA</w:t>
            </w:r>
          </w:p>
        </w:tc>
        <w:tc>
          <w:tcPr>
            <w:tcW w:w="84" w:type="pct"/>
            <w:tcBorders>
              <w:top w:val="nil"/>
              <w:left w:val="nil"/>
              <w:bottom w:val="nil"/>
              <w:right w:val="nil"/>
            </w:tcBorders>
            <w:shd w:val="clear" w:color="auto" w:fill="auto"/>
            <w:vAlign w:val="bottom"/>
          </w:tcPr>
          <w:p w14:paraId="57D4BFD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tcPr>
          <w:p w14:paraId="57D4BFD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F8403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67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6"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95"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57D4BFE7" w14:textId="6A2D4026" w:rsidR="00CF791E" w:rsidRPr="001C67FA" w:rsidRDefault="00344D37" w:rsidP="00CF791E">
            <w:pPr>
              <w:rPr>
                <w:rFonts w:ascii="Calibri" w:eastAsia="Times New Roman" w:hAnsi="Calibri" w:cs="Calibri"/>
                <w:b/>
                <w:bCs/>
                <w:color w:val="000000"/>
              </w:rPr>
            </w:pPr>
            <w:r>
              <w:rPr>
                <w:rFonts w:ascii="Calibri" w:eastAsia="Times New Roman" w:hAnsi="Calibri" w:cs="Calibri"/>
                <w:b/>
                <w:bCs/>
                <w:color w:val="000000"/>
              </w:rPr>
              <w:t>Progetto</w:t>
            </w:r>
            <w:r w:rsidR="00774437">
              <w:rPr>
                <w:rFonts w:ascii="Calibri" w:eastAsia="Times New Roman" w:hAnsi="Calibri" w:cs="Calibri"/>
                <w:b/>
                <w:bCs/>
                <w:color w:val="000000"/>
              </w:rPr>
              <w:t>:</w:t>
            </w:r>
            <w:r w:rsidR="00774437">
              <w:t xml:space="preserve"> </w:t>
            </w:r>
            <w:r w:rsidR="00B32DD0" w:rsidRPr="00B32DD0">
              <w:t>Programma finanziamento ricerca di Ateneo Linea A - "Studio dell’esposizione del personale addetto alla sala mungitura di allevamenti bufalini e bovini mediante caratterizzazione genomica di batteri patogeni" PESCA ZORBA Prof. Di Loria Antonio</w:t>
            </w:r>
          </w:p>
        </w:tc>
        <w:tc>
          <w:tcPr>
            <w:tcW w:w="84"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F84030">
        <w:trPr>
          <w:trHeight w:val="315"/>
          <w:jc w:val="center"/>
        </w:trPr>
        <w:tc>
          <w:tcPr>
            <w:tcW w:w="3014"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F84030">
        <w:trPr>
          <w:trHeight w:val="330"/>
          <w:jc w:val="center"/>
        </w:trPr>
        <w:tc>
          <w:tcPr>
            <w:tcW w:w="3014"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F8403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67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6"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F84030">
        <w:trPr>
          <w:trHeight w:val="780"/>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5"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F84030">
        <w:trPr>
          <w:trHeight w:val="312"/>
          <w:jc w:val="center"/>
        </w:trPr>
        <w:tc>
          <w:tcPr>
            <w:tcW w:w="1495"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5"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F8403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9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5"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F8403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9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5"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F84030">
        <w:trPr>
          <w:trHeight w:val="863"/>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5"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5"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59" w14:textId="6F1448AC"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F17962">
              <w:rPr>
                <w:rFonts w:ascii="Calibri" w:eastAsia="Times New Roman" w:hAnsi="Calibri" w:cs="Calibri"/>
                <w:b/>
                <w:bCs/>
                <w:color w:val="000000"/>
                <w:u w:val="single"/>
              </w:rPr>
              <w:t xml:space="preserve"> </w:t>
            </w:r>
            <w:r w:rsidR="00B32DD0">
              <w:rPr>
                <w:rFonts w:ascii="Calibri" w:eastAsia="Times New Roman" w:hAnsi="Calibri" w:cs="Calibri"/>
                <w:b/>
                <w:bCs/>
                <w:color w:val="000000"/>
                <w:u w:val="single"/>
              </w:rPr>
              <w:t>Antonio Di Loria</w:t>
            </w:r>
          </w:p>
        </w:tc>
        <w:tc>
          <w:tcPr>
            <w:tcW w:w="425"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F84030">
        <w:trPr>
          <w:trHeight w:val="323"/>
          <w:jc w:val="center"/>
        </w:trPr>
        <w:tc>
          <w:tcPr>
            <w:tcW w:w="1495"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F84030">
        <w:trPr>
          <w:trHeight w:val="315"/>
          <w:jc w:val="center"/>
        </w:trPr>
        <w:tc>
          <w:tcPr>
            <w:tcW w:w="1495"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2" w14:textId="77777777" w:rsidR="008229F0" w:rsidRPr="00EF423C" w:rsidRDefault="008229F0" w:rsidP="00EF423C">
      <w:pPr>
        <w:tabs>
          <w:tab w:val="left" w:pos="6420"/>
        </w:tabs>
        <w:rPr>
          <w:rFonts w:ascii="Cambria" w:hAnsi="Cambria" w:cs="Times New Roman"/>
          <w:b/>
        </w:rPr>
      </w:pPr>
      <w:r w:rsidRPr="008229F0">
        <w:rPr>
          <w:rFonts w:ascii="Cambria" w:hAnsi="Cambria"/>
          <w:b/>
          <w:color w:val="000000"/>
          <w:shd w:val="clear" w:color="auto" w:fill="F3F3F3"/>
        </w:rPr>
        <w:t xml:space="preserve">Mod_ Ant_ </w:t>
      </w: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57768697"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r w:rsidR="006262D9">
              <w:rPr>
                <w:rFonts w:ascii="Cambria" w:hAnsi="Cambria"/>
              </w:rPr>
              <w:t xml:space="preserve">di </w:t>
            </w:r>
            <w:r w:rsidR="00D7356C">
              <w:rPr>
                <w:rFonts w:ascii="Cambria" w:hAnsi="Cambria"/>
              </w:rPr>
              <w:t xml:space="preserve">pulizia Locali </w:t>
            </w:r>
          </w:p>
        </w:tc>
      </w:tr>
      <w:tr w:rsidR="000009C8" w:rsidRPr="008229F0" w14:paraId="65D9D92B" w14:textId="77777777" w:rsidTr="008229F0">
        <w:trPr>
          <w:trHeight w:val="707"/>
          <w:jc w:val="center"/>
        </w:trPr>
        <w:tc>
          <w:tcPr>
            <w:tcW w:w="1526" w:type="dxa"/>
            <w:shd w:val="clear" w:color="auto" w:fill="auto"/>
          </w:tcPr>
          <w:p w14:paraId="51C5EFC7" w14:textId="77777777" w:rsidR="000009C8" w:rsidRDefault="000009C8" w:rsidP="002454F4">
            <w:pPr>
              <w:spacing w:line="240" w:lineRule="atLeast"/>
              <w:rPr>
                <w:rFonts w:ascii="Cambria" w:hAnsi="Cambria"/>
                <w:b/>
              </w:rPr>
            </w:pPr>
          </w:p>
        </w:tc>
        <w:tc>
          <w:tcPr>
            <w:tcW w:w="1843" w:type="dxa"/>
            <w:shd w:val="clear" w:color="auto" w:fill="auto"/>
          </w:tcPr>
          <w:p w14:paraId="318C93D0" w14:textId="77777777" w:rsidR="000009C8" w:rsidRDefault="000009C8" w:rsidP="002454F4">
            <w:pPr>
              <w:spacing w:line="240" w:lineRule="atLeast"/>
              <w:rPr>
                <w:rFonts w:ascii="Cambria" w:hAnsi="Cambria"/>
                <w:b/>
              </w:rPr>
            </w:pPr>
          </w:p>
        </w:tc>
        <w:tc>
          <w:tcPr>
            <w:tcW w:w="1417" w:type="dxa"/>
            <w:shd w:val="clear" w:color="auto" w:fill="auto"/>
          </w:tcPr>
          <w:p w14:paraId="790F6954" w14:textId="77777777" w:rsidR="000009C8" w:rsidRDefault="000009C8" w:rsidP="002454F4">
            <w:pPr>
              <w:spacing w:line="240" w:lineRule="atLeast"/>
              <w:rPr>
                <w:rFonts w:ascii="Cambria" w:hAnsi="Cambria"/>
              </w:rPr>
            </w:pPr>
          </w:p>
        </w:tc>
        <w:tc>
          <w:tcPr>
            <w:tcW w:w="992" w:type="dxa"/>
            <w:shd w:val="clear" w:color="auto" w:fill="auto"/>
          </w:tcPr>
          <w:p w14:paraId="5F48A264" w14:textId="77777777" w:rsidR="000009C8" w:rsidRDefault="000009C8" w:rsidP="002454F4">
            <w:pPr>
              <w:spacing w:line="240" w:lineRule="atLeast"/>
              <w:rPr>
                <w:rFonts w:ascii="Cambria" w:hAnsi="Cambria"/>
              </w:rPr>
            </w:pPr>
          </w:p>
        </w:tc>
        <w:tc>
          <w:tcPr>
            <w:tcW w:w="4076" w:type="dxa"/>
            <w:shd w:val="clear" w:color="auto" w:fill="auto"/>
          </w:tcPr>
          <w:p w14:paraId="008ABF4F" w14:textId="77777777" w:rsidR="000009C8" w:rsidRPr="008229F0" w:rsidRDefault="000009C8" w:rsidP="002454F4">
            <w:pPr>
              <w:spacing w:line="240" w:lineRule="atLeast"/>
              <w:jc w:val="both"/>
              <w:rPr>
                <w:rFonts w:ascii="Cambria" w:hAnsi="Cambria"/>
                <w:b/>
              </w:rPr>
            </w:pP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di non aver svolto, nei 5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codice penale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CBDEE92"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D7356C">
        <w:rPr>
          <w:rFonts w:ascii="Cambria" w:hAnsi="Cambria"/>
          <w:b/>
          <w:i/>
        </w:rPr>
        <w:t>01/02</w:t>
      </w:r>
      <w:r w:rsidR="00595E47">
        <w:rPr>
          <w:rFonts w:ascii="Cambria" w:hAnsi="Cambria"/>
          <w:b/>
          <w:i/>
        </w:rPr>
        <w:t>/2023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63F2" w14:textId="77777777" w:rsidR="0039149E" w:rsidRDefault="0039149E" w:rsidP="00BD1044">
      <w:r>
        <w:separator/>
      </w:r>
    </w:p>
  </w:endnote>
  <w:endnote w:type="continuationSeparator" w:id="0">
    <w:p w14:paraId="700F36A9" w14:textId="77777777" w:rsidR="0039149E" w:rsidRDefault="0039149E"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Web-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34189" w14:textId="77777777" w:rsidR="0039149E" w:rsidRDefault="0039149E" w:rsidP="00BD1044">
      <w:r>
        <w:separator/>
      </w:r>
    </w:p>
  </w:footnote>
  <w:footnote w:type="continuationSeparator" w:id="0">
    <w:p w14:paraId="3DAD6BD1" w14:textId="77777777" w:rsidR="0039149E" w:rsidRDefault="0039149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9C8"/>
    <w:rsid w:val="0001184E"/>
    <w:rsid w:val="00016B8B"/>
    <w:rsid w:val="000208D9"/>
    <w:rsid w:val="0002515B"/>
    <w:rsid w:val="00032450"/>
    <w:rsid w:val="000339EE"/>
    <w:rsid w:val="00033B1A"/>
    <w:rsid w:val="000375F8"/>
    <w:rsid w:val="000447DE"/>
    <w:rsid w:val="0006519B"/>
    <w:rsid w:val="00070A53"/>
    <w:rsid w:val="000767ED"/>
    <w:rsid w:val="00091433"/>
    <w:rsid w:val="00091A91"/>
    <w:rsid w:val="00097A71"/>
    <w:rsid w:val="000A6B28"/>
    <w:rsid w:val="000A71EE"/>
    <w:rsid w:val="000D44F5"/>
    <w:rsid w:val="000D46AD"/>
    <w:rsid w:val="000D68B1"/>
    <w:rsid w:val="000E250C"/>
    <w:rsid w:val="000E6DBE"/>
    <w:rsid w:val="000E70FB"/>
    <w:rsid w:val="000E7398"/>
    <w:rsid w:val="000F1F62"/>
    <w:rsid w:val="000F6305"/>
    <w:rsid w:val="00103A62"/>
    <w:rsid w:val="0010405F"/>
    <w:rsid w:val="00112844"/>
    <w:rsid w:val="00117104"/>
    <w:rsid w:val="00125EE0"/>
    <w:rsid w:val="00130221"/>
    <w:rsid w:val="00150A1C"/>
    <w:rsid w:val="00154A05"/>
    <w:rsid w:val="00154FB4"/>
    <w:rsid w:val="00155A29"/>
    <w:rsid w:val="0016268B"/>
    <w:rsid w:val="00166263"/>
    <w:rsid w:val="001703FE"/>
    <w:rsid w:val="00180FBC"/>
    <w:rsid w:val="0018561B"/>
    <w:rsid w:val="00185D73"/>
    <w:rsid w:val="0018795F"/>
    <w:rsid w:val="00190424"/>
    <w:rsid w:val="00190B60"/>
    <w:rsid w:val="00191496"/>
    <w:rsid w:val="00194B31"/>
    <w:rsid w:val="001A5A4A"/>
    <w:rsid w:val="001B41A9"/>
    <w:rsid w:val="001B51EB"/>
    <w:rsid w:val="001C515E"/>
    <w:rsid w:val="001C67FA"/>
    <w:rsid w:val="001C704A"/>
    <w:rsid w:val="001C71C3"/>
    <w:rsid w:val="001D78E8"/>
    <w:rsid w:val="001E0FD5"/>
    <w:rsid w:val="001E511B"/>
    <w:rsid w:val="001E6D7B"/>
    <w:rsid w:val="001F353C"/>
    <w:rsid w:val="001F7DBE"/>
    <w:rsid w:val="002012AB"/>
    <w:rsid w:val="00215A70"/>
    <w:rsid w:val="002348ED"/>
    <w:rsid w:val="00237EA9"/>
    <w:rsid w:val="00241BD0"/>
    <w:rsid w:val="0024451D"/>
    <w:rsid w:val="00251DB4"/>
    <w:rsid w:val="00260836"/>
    <w:rsid w:val="002761E6"/>
    <w:rsid w:val="00280A20"/>
    <w:rsid w:val="002813AE"/>
    <w:rsid w:val="00282EA9"/>
    <w:rsid w:val="0028754D"/>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44D37"/>
    <w:rsid w:val="00353B23"/>
    <w:rsid w:val="00361F06"/>
    <w:rsid w:val="00380E44"/>
    <w:rsid w:val="00384036"/>
    <w:rsid w:val="0039149E"/>
    <w:rsid w:val="003969BA"/>
    <w:rsid w:val="003A232F"/>
    <w:rsid w:val="003A4073"/>
    <w:rsid w:val="003B5528"/>
    <w:rsid w:val="003B7B43"/>
    <w:rsid w:val="003C1D87"/>
    <w:rsid w:val="003C3F59"/>
    <w:rsid w:val="003C4B16"/>
    <w:rsid w:val="003D0D7E"/>
    <w:rsid w:val="003D6342"/>
    <w:rsid w:val="003D745D"/>
    <w:rsid w:val="003D79CC"/>
    <w:rsid w:val="003F0879"/>
    <w:rsid w:val="003F7C73"/>
    <w:rsid w:val="00402E6D"/>
    <w:rsid w:val="004056C0"/>
    <w:rsid w:val="00416C6E"/>
    <w:rsid w:val="00420BCA"/>
    <w:rsid w:val="00435DA4"/>
    <w:rsid w:val="00437F93"/>
    <w:rsid w:val="00440003"/>
    <w:rsid w:val="0045455B"/>
    <w:rsid w:val="00455A9F"/>
    <w:rsid w:val="00461F19"/>
    <w:rsid w:val="0047321C"/>
    <w:rsid w:val="00473707"/>
    <w:rsid w:val="00473D74"/>
    <w:rsid w:val="004742FB"/>
    <w:rsid w:val="00484FBA"/>
    <w:rsid w:val="00485513"/>
    <w:rsid w:val="004948F7"/>
    <w:rsid w:val="004A4365"/>
    <w:rsid w:val="004A734F"/>
    <w:rsid w:val="004A7532"/>
    <w:rsid w:val="004B62B2"/>
    <w:rsid w:val="004B6A0C"/>
    <w:rsid w:val="004B7E6B"/>
    <w:rsid w:val="004C6D89"/>
    <w:rsid w:val="004C7A6D"/>
    <w:rsid w:val="004D19C8"/>
    <w:rsid w:val="004D2AC6"/>
    <w:rsid w:val="004D3A70"/>
    <w:rsid w:val="004D5E1D"/>
    <w:rsid w:val="004E1450"/>
    <w:rsid w:val="00502095"/>
    <w:rsid w:val="005104BD"/>
    <w:rsid w:val="00525779"/>
    <w:rsid w:val="00526B8D"/>
    <w:rsid w:val="00527BA0"/>
    <w:rsid w:val="00535D66"/>
    <w:rsid w:val="00543E42"/>
    <w:rsid w:val="005552A5"/>
    <w:rsid w:val="00557A45"/>
    <w:rsid w:val="0057052B"/>
    <w:rsid w:val="005750E6"/>
    <w:rsid w:val="00575416"/>
    <w:rsid w:val="0057767A"/>
    <w:rsid w:val="00580A75"/>
    <w:rsid w:val="00580C17"/>
    <w:rsid w:val="00585766"/>
    <w:rsid w:val="005873F8"/>
    <w:rsid w:val="00591AE1"/>
    <w:rsid w:val="00592D0C"/>
    <w:rsid w:val="00593358"/>
    <w:rsid w:val="00595DF8"/>
    <w:rsid w:val="00595E47"/>
    <w:rsid w:val="005A018A"/>
    <w:rsid w:val="005A1CE8"/>
    <w:rsid w:val="005A3367"/>
    <w:rsid w:val="005A7CEB"/>
    <w:rsid w:val="005C30E4"/>
    <w:rsid w:val="005C3824"/>
    <w:rsid w:val="005C3A5E"/>
    <w:rsid w:val="005D4F58"/>
    <w:rsid w:val="005E48C1"/>
    <w:rsid w:val="005E500E"/>
    <w:rsid w:val="005F0700"/>
    <w:rsid w:val="005F4A7B"/>
    <w:rsid w:val="005F653B"/>
    <w:rsid w:val="0060664B"/>
    <w:rsid w:val="0061048A"/>
    <w:rsid w:val="006105B8"/>
    <w:rsid w:val="006126EC"/>
    <w:rsid w:val="00620BA1"/>
    <w:rsid w:val="006262D9"/>
    <w:rsid w:val="00632B06"/>
    <w:rsid w:val="006341A8"/>
    <w:rsid w:val="00637EFF"/>
    <w:rsid w:val="0064004E"/>
    <w:rsid w:val="006651B5"/>
    <w:rsid w:val="00667EC5"/>
    <w:rsid w:val="00673CDB"/>
    <w:rsid w:val="00677A66"/>
    <w:rsid w:val="00684BF0"/>
    <w:rsid w:val="0069416C"/>
    <w:rsid w:val="006A4DF6"/>
    <w:rsid w:val="006B28A3"/>
    <w:rsid w:val="006B3CE9"/>
    <w:rsid w:val="006C101D"/>
    <w:rsid w:val="006C47E4"/>
    <w:rsid w:val="006D013F"/>
    <w:rsid w:val="006F0D94"/>
    <w:rsid w:val="006F176F"/>
    <w:rsid w:val="006F4719"/>
    <w:rsid w:val="0070106E"/>
    <w:rsid w:val="0071012F"/>
    <w:rsid w:val="00716A22"/>
    <w:rsid w:val="007177AC"/>
    <w:rsid w:val="007245EF"/>
    <w:rsid w:val="007248AC"/>
    <w:rsid w:val="00732285"/>
    <w:rsid w:val="007358B1"/>
    <w:rsid w:val="0074021D"/>
    <w:rsid w:val="00741E36"/>
    <w:rsid w:val="007470E5"/>
    <w:rsid w:val="007477EC"/>
    <w:rsid w:val="00751CA0"/>
    <w:rsid w:val="007547E5"/>
    <w:rsid w:val="0076001F"/>
    <w:rsid w:val="0076012F"/>
    <w:rsid w:val="007700AE"/>
    <w:rsid w:val="00771CB1"/>
    <w:rsid w:val="00773386"/>
    <w:rsid w:val="00774437"/>
    <w:rsid w:val="007767FB"/>
    <w:rsid w:val="00776FCF"/>
    <w:rsid w:val="00777865"/>
    <w:rsid w:val="00780712"/>
    <w:rsid w:val="00783774"/>
    <w:rsid w:val="00783A75"/>
    <w:rsid w:val="007904FB"/>
    <w:rsid w:val="00793BBC"/>
    <w:rsid w:val="007A4FD4"/>
    <w:rsid w:val="007B1254"/>
    <w:rsid w:val="007B2B8E"/>
    <w:rsid w:val="007B7481"/>
    <w:rsid w:val="007C1317"/>
    <w:rsid w:val="007C39E6"/>
    <w:rsid w:val="007C769B"/>
    <w:rsid w:val="007D2A9E"/>
    <w:rsid w:val="007D4F41"/>
    <w:rsid w:val="007E1F2B"/>
    <w:rsid w:val="007E2104"/>
    <w:rsid w:val="007E4246"/>
    <w:rsid w:val="007E45D4"/>
    <w:rsid w:val="007E6C10"/>
    <w:rsid w:val="007E7AF1"/>
    <w:rsid w:val="007F5D6B"/>
    <w:rsid w:val="007F6480"/>
    <w:rsid w:val="007F7006"/>
    <w:rsid w:val="008113A7"/>
    <w:rsid w:val="00815ED2"/>
    <w:rsid w:val="008229F0"/>
    <w:rsid w:val="00826410"/>
    <w:rsid w:val="00827148"/>
    <w:rsid w:val="0083198E"/>
    <w:rsid w:val="0083444C"/>
    <w:rsid w:val="00842F40"/>
    <w:rsid w:val="008539D5"/>
    <w:rsid w:val="0086089C"/>
    <w:rsid w:val="00862468"/>
    <w:rsid w:val="00866FA3"/>
    <w:rsid w:val="008716FD"/>
    <w:rsid w:val="008721AE"/>
    <w:rsid w:val="008728AE"/>
    <w:rsid w:val="00893FA6"/>
    <w:rsid w:val="008954AF"/>
    <w:rsid w:val="008A3D62"/>
    <w:rsid w:val="008B0C31"/>
    <w:rsid w:val="008B45B1"/>
    <w:rsid w:val="008C31D4"/>
    <w:rsid w:val="008D01DB"/>
    <w:rsid w:val="00914027"/>
    <w:rsid w:val="009242FF"/>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D08FA"/>
    <w:rsid w:val="009E0EF0"/>
    <w:rsid w:val="009F17CD"/>
    <w:rsid w:val="009F23C8"/>
    <w:rsid w:val="00A00577"/>
    <w:rsid w:val="00A02179"/>
    <w:rsid w:val="00A0368E"/>
    <w:rsid w:val="00A05476"/>
    <w:rsid w:val="00A06658"/>
    <w:rsid w:val="00A06AAC"/>
    <w:rsid w:val="00A21082"/>
    <w:rsid w:val="00A22961"/>
    <w:rsid w:val="00A23B14"/>
    <w:rsid w:val="00A2585E"/>
    <w:rsid w:val="00A3256E"/>
    <w:rsid w:val="00A42AE2"/>
    <w:rsid w:val="00A43A92"/>
    <w:rsid w:val="00A468C3"/>
    <w:rsid w:val="00A50865"/>
    <w:rsid w:val="00A51D7C"/>
    <w:rsid w:val="00A56B13"/>
    <w:rsid w:val="00A676EF"/>
    <w:rsid w:val="00A71C01"/>
    <w:rsid w:val="00A739F2"/>
    <w:rsid w:val="00A74FCB"/>
    <w:rsid w:val="00A840F5"/>
    <w:rsid w:val="00A90CE9"/>
    <w:rsid w:val="00AA4BBF"/>
    <w:rsid w:val="00AB0DF2"/>
    <w:rsid w:val="00AB1332"/>
    <w:rsid w:val="00AC29ED"/>
    <w:rsid w:val="00AC585A"/>
    <w:rsid w:val="00AE7779"/>
    <w:rsid w:val="00AF07B1"/>
    <w:rsid w:val="00AF1CCE"/>
    <w:rsid w:val="00B0458C"/>
    <w:rsid w:val="00B04FB6"/>
    <w:rsid w:val="00B05D4A"/>
    <w:rsid w:val="00B06232"/>
    <w:rsid w:val="00B07FE7"/>
    <w:rsid w:val="00B11459"/>
    <w:rsid w:val="00B12599"/>
    <w:rsid w:val="00B15834"/>
    <w:rsid w:val="00B15DD0"/>
    <w:rsid w:val="00B20DFA"/>
    <w:rsid w:val="00B27D73"/>
    <w:rsid w:val="00B30110"/>
    <w:rsid w:val="00B31822"/>
    <w:rsid w:val="00B32DD0"/>
    <w:rsid w:val="00B42001"/>
    <w:rsid w:val="00B443FF"/>
    <w:rsid w:val="00B50F75"/>
    <w:rsid w:val="00B52B5F"/>
    <w:rsid w:val="00B629D8"/>
    <w:rsid w:val="00B67B99"/>
    <w:rsid w:val="00B7327E"/>
    <w:rsid w:val="00B91CC9"/>
    <w:rsid w:val="00B93CE9"/>
    <w:rsid w:val="00BA0C96"/>
    <w:rsid w:val="00BA298C"/>
    <w:rsid w:val="00BA2D60"/>
    <w:rsid w:val="00BC57F1"/>
    <w:rsid w:val="00BC78D1"/>
    <w:rsid w:val="00BD1044"/>
    <w:rsid w:val="00BD370F"/>
    <w:rsid w:val="00C016C5"/>
    <w:rsid w:val="00C06DD7"/>
    <w:rsid w:val="00C20267"/>
    <w:rsid w:val="00C31DC6"/>
    <w:rsid w:val="00C32F9F"/>
    <w:rsid w:val="00C42696"/>
    <w:rsid w:val="00C43CF2"/>
    <w:rsid w:val="00C47171"/>
    <w:rsid w:val="00C5132D"/>
    <w:rsid w:val="00C60270"/>
    <w:rsid w:val="00C633C3"/>
    <w:rsid w:val="00C67599"/>
    <w:rsid w:val="00C7073E"/>
    <w:rsid w:val="00C800B5"/>
    <w:rsid w:val="00C819ED"/>
    <w:rsid w:val="00C82097"/>
    <w:rsid w:val="00C962CD"/>
    <w:rsid w:val="00C97B58"/>
    <w:rsid w:val="00CB1943"/>
    <w:rsid w:val="00CC3920"/>
    <w:rsid w:val="00CC70FC"/>
    <w:rsid w:val="00CC749D"/>
    <w:rsid w:val="00CE59D8"/>
    <w:rsid w:val="00CF0413"/>
    <w:rsid w:val="00CF5955"/>
    <w:rsid w:val="00CF791E"/>
    <w:rsid w:val="00D00C80"/>
    <w:rsid w:val="00D01F59"/>
    <w:rsid w:val="00D02C1D"/>
    <w:rsid w:val="00D07914"/>
    <w:rsid w:val="00D14AD0"/>
    <w:rsid w:val="00D20743"/>
    <w:rsid w:val="00D20DC3"/>
    <w:rsid w:val="00D3720E"/>
    <w:rsid w:val="00D46C47"/>
    <w:rsid w:val="00D47953"/>
    <w:rsid w:val="00D517E4"/>
    <w:rsid w:val="00D52056"/>
    <w:rsid w:val="00D60E97"/>
    <w:rsid w:val="00D61E60"/>
    <w:rsid w:val="00D72972"/>
    <w:rsid w:val="00D7356C"/>
    <w:rsid w:val="00D80C8A"/>
    <w:rsid w:val="00D83963"/>
    <w:rsid w:val="00D84420"/>
    <w:rsid w:val="00D93A69"/>
    <w:rsid w:val="00DA3C32"/>
    <w:rsid w:val="00DA6A24"/>
    <w:rsid w:val="00DB07DB"/>
    <w:rsid w:val="00DB58B2"/>
    <w:rsid w:val="00DC69D0"/>
    <w:rsid w:val="00DD3339"/>
    <w:rsid w:val="00DD35C7"/>
    <w:rsid w:val="00DD410D"/>
    <w:rsid w:val="00DD47F4"/>
    <w:rsid w:val="00DE1619"/>
    <w:rsid w:val="00DE3D8A"/>
    <w:rsid w:val="00DE7D00"/>
    <w:rsid w:val="00DF1637"/>
    <w:rsid w:val="00DF373C"/>
    <w:rsid w:val="00DF3C27"/>
    <w:rsid w:val="00DF568D"/>
    <w:rsid w:val="00E07788"/>
    <w:rsid w:val="00E11386"/>
    <w:rsid w:val="00E1176C"/>
    <w:rsid w:val="00E139D0"/>
    <w:rsid w:val="00E14E1D"/>
    <w:rsid w:val="00E175E8"/>
    <w:rsid w:val="00E211DC"/>
    <w:rsid w:val="00E213C5"/>
    <w:rsid w:val="00E306A7"/>
    <w:rsid w:val="00E31697"/>
    <w:rsid w:val="00E37E8B"/>
    <w:rsid w:val="00E42CD0"/>
    <w:rsid w:val="00E51275"/>
    <w:rsid w:val="00E60EEF"/>
    <w:rsid w:val="00E6320B"/>
    <w:rsid w:val="00E64E39"/>
    <w:rsid w:val="00E70ACC"/>
    <w:rsid w:val="00E753C3"/>
    <w:rsid w:val="00E80C07"/>
    <w:rsid w:val="00E81AFA"/>
    <w:rsid w:val="00E832CF"/>
    <w:rsid w:val="00E9166A"/>
    <w:rsid w:val="00E928F6"/>
    <w:rsid w:val="00E96A15"/>
    <w:rsid w:val="00EA31DC"/>
    <w:rsid w:val="00EA434C"/>
    <w:rsid w:val="00EA5206"/>
    <w:rsid w:val="00EB0A49"/>
    <w:rsid w:val="00EC6590"/>
    <w:rsid w:val="00ED3405"/>
    <w:rsid w:val="00EE4C87"/>
    <w:rsid w:val="00EF0E7B"/>
    <w:rsid w:val="00EF423C"/>
    <w:rsid w:val="00EF45B7"/>
    <w:rsid w:val="00EF510A"/>
    <w:rsid w:val="00F10007"/>
    <w:rsid w:val="00F17962"/>
    <w:rsid w:val="00F214CE"/>
    <w:rsid w:val="00F215B4"/>
    <w:rsid w:val="00F23BBA"/>
    <w:rsid w:val="00F27723"/>
    <w:rsid w:val="00F3509F"/>
    <w:rsid w:val="00F354EB"/>
    <w:rsid w:val="00F36626"/>
    <w:rsid w:val="00F37E74"/>
    <w:rsid w:val="00F42C78"/>
    <w:rsid w:val="00F466E4"/>
    <w:rsid w:val="00F63F31"/>
    <w:rsid w:val="00F66773"/>
    <w:rsid w:val="00F70C13"/>
    <w:rsid w:val="00F71A36"/>
    <w:rsid w:val="00F7648B"/>
    <w:rsid w:val="00F84030"/>
    <w:rsid w:val="00F91221"/>
    <w:rsid w:val="00FA35D9"/>
    <w:rsid w:val="00FA4907"/>
    <w:rsid w:val="00FC2384"/>
    <w:rsid w:val="00FD4910"/>
    <w:rsid w:val="00FD64E1"/>
    <w:rsid w:val="00FE37A9"/>
    <w:rsid w:val="00FF0D96"/>
    <w:rsid w:val="00FF16DF"/>
    <w:rsid w:val="00FF3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1725</Words>
  <Characters>9835</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2023-07-04T09:38:00Z</dcterms:created>
  <dcterms:modified xsi:type="dcterms:W3CDTF">2023-07-04T09:38:00Z</dcterms:modified>
</cp:coreProperties>
</file>