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3A07AAEC"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986675">
        <w:rPr>
          <w:rFonts w:ascii="Times New Roman" w:hAnsi="Times New Roman" w:cs="Times New Roman"/>
        </w:rPr>
        <w:t>39</w:t>
      </w:r>
    </w:p>
    <w:p w14:paraId="6C6271D9" w14:textId="6E507699"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4655DD" w:rsidRPr="0058798A">
        <w:rPr>
          <w:rFonts w:ascii="Times New Roman" w:hAnsi="Times New Roman" w:cs="Times New Roman"/>
        </w:rPr>
        <w:t>2</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proofErr w:type="gramStart"/>
      <w:r w:rsidR="00016D46" w:rsidRPr="0058798A">
        <w:t>Determina  a</w:t>
      </w:r>
      <w:proofErr w:type="gramEnd"/>
      <w:r w:rsidR="00016D46" w:rsidRPr="0058798A">
        <w:t xml:space="preserve">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6F09CF91"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4A018B" w:rsidRPr="004A018B">
        <w:t>Z4039C4725</w:t>
      </w:r>
    </w:p>
    <w:p w14:paraId="6C6271E2" w14:textId="77777777" w:rsidR="00C20267" w:rsidRDefault="00C20267" w:rsidP="004E2E84">
      <w:pPr>
        <w:tabs>
          <w:tab w:val="left" w:pos="6420"/>
        </w:tabs>
        <w:ind w:left="567" w:right="567"/>
        <w:contextualSpacing/>
        <w:mirrorIndents/>
        <w:jc w:val="center"/>
        <w:rPr>
          <w:sz w:val="28"/>
          <w:szCs w:val="28"/>
        </w:rPr>
      </w:pPr>
      <w:proofErr w:type="gramStart"/>
      <w:r>
        <w:rPr>
          <w:sz w:val="28"/>
          <w:szCs w:val="28"/>
        </w:rPr>
        <w:t>IL  DIRETTORE</w:t>
      </w:r>
      <w:proofErr w:type="gramEnd"/>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w:t>
            </w:r>
            <w:proofErr w:type="spellStart"/>
            <w:r w:rsidRPr="004E2E84">
              <w:rPr>
                <w:rFonts w:eastAsia="Calibri" w:cs="Times New Roman"/>
              </w:rPr>
              <w:t>m.i.</w:t>
            </w:r>
            <w:proofErr w:type="spellEnd"/>
            <w:r w:rsidRPr="004E2E84">
              <w:rPr>
                <w:rFonts w:eastAsia="Calibri" w:cs="Times New Roman"/>
              </w:rPr>
              <w:t>;</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2953BCAC"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r w:rsidR="00342AB2">
        <w:rPr>
          <w:rFonts w:cs="Arial"/>
          <w:color w:val="333333"/>
          <w:sz w:val="28"/>
          <w:szCs w:val="28"/>
          <w:shd w:val="clear" w:color="auto" w:fill="FFFFFF"/>
        </w:rPr>
        <w:t xml:space="preserve">Orlando </w:t>
      </w:r>
      <w:proofErr w:type="gramStart"/>
      <w:r w:rsidR="00342AB2">
        <w:rPr>
          <w:rFonts w:cs="Arial"/>
          <w:color w:val="333333"/>
          <w:sz w:val="28"/>
          <w:szCs w:val="28"/>
          <w:shd w:val="clear" w:color="auto" w:fill="FFFFFF"/>
        </w:rPr>
        <w:t>Paciello</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 in</w:t>
      </w:r>
      <w:proofErr w:type="gramEnd"/>
      <w:r w:rsidR="00850790">
        <w:rPr>
          <w:rFonts w:cs="Arial"/>
          <w:color w:val="333333"/>
          <w:sz w:val="28"/>
          <w:szCs w:val="28"/>
          <w:shd w:val="clear" w:color="auto" w:fill="FFFFFF"/>
        </w:rPr>
        <w:t xml:space="preserve"> data </w:t>
      </w:r>
      <w:r w:rsidR="004A018B">
        <w:rPr>
          <w:rFonts w:cs="Arial"/>
          <w:color w:val="333333"/>
          <w:sz w:val="28"/>
          <w:szCs w:val="28"/>
          <w:shd w:val="clear" w:color="auto" w:fill="FFFFFF"/>
        </w:rPr>
        <w:t>06/02/2023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w:t>
      </w:r>
      <w:proofErr w:type="spellStart"/>
      <w:r>
        <w:rPr>
          <w:rFonts w:cs="Arial"/>
          <w:color w:val="333333"/>
          <w:sz w:val="28"/>
          <w:szCs w:val="28"/>
          <w:shd w:val="clear" w:color="auto" w:fill="FFFFFF"/>
        </w:rPr>
        <w:t>s.m.i.</w:t>
      </w:r>
      <w:proofErr w:type="spellEnd"/>
      <w:r>
        <w:rPr>
          <w:rFonts w:cs="Arial"/>
          <w:color w:val="333333"/>
          <w:sz w:val="28"/>
          <w:szCs w:val="28"/>
          <w:shd w:val="clear" w:color="auto" w:fill="FFFFFF"/>
        </w:rPr>
        <w:t>;</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w:t>
      </w:r>
      <w:proofErr w:type="gramStart"/>
      <w:r>
        <w:rPr>
          <w:rFonts w:cs="Arial"/>
          <w:color w:val="333333"/>
          <w:sz w:val="28"/>
          <w:szCs w:val="28"/>
          <w:shd w:val="clear" w:color="auto" w:fill="FFFFFF"/>
        </w:rPr>
        <w:t>2016  “</w:t>
      </w:r>
      <w:proofErr w:type="gramEnd"/>
      <w:r>
        <w:rPr>
          <w:rFonts w:cs="Arial"/>
          <w:color w:val="333333"/>
          <w:sz w:val="28"/>
          <w:szCs w:val="28"/>
          <w:shd w:val="clear" w:color="auto" w:fill="FFFFFF"/>
        </w:rPr>
        <w:t>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proofErr w:type="gramStart"/>
      <w:r w:rsidRPr="00D80C8A">
        <w:rPr>
          <w:color w:val="000000"/>
          <w:shd w:val="clear" w:color="auto" w:fill="F3F3F3"/>
        </w:rPr>
        <w:t>)</w:t>
      </w:r>
      <w:r w:rsidRPr="00D80C8A">
        <w:rPr>
          <w:color w:val="000000"/>
          <w:sz w:val="18"/>
          <w:szCs w:val="18"/>
          <w:shd w:val="clear" w:color="auto" w:fill="F3F3F3"/>
        </w:rPr>
        <w:t xml:space="preserve"> </w:t>
      </w:r>
      <w:r w:rsidRPr="00D80C8A">
        <w:rPr>
          <w:bCs/>
          <w:sz w:val="28"/>
          <w:szCs w:val="28"/>
        </w:rPr>
        <w:t xml:space="preserve"> ,</w:t>
      </w:r>
      <w:proofErr w:type="gramEnd"/>
      <w:r w:rsidRPr="00D80C8A">
        <w:rPr>
          <w:bCs/>
          <w:sz w:val="28"/>
          <w:szCs w:val="28"/>
        </w:rPr>
        <w:t xml:space="preserve"> che non sussistono conflitti di interesse, per l’acquisto in oggetto, ai sensi dell’art. 31 comma 1, del D. Lgs. 50/2016</w:t>
      </w:r>
      <w:r>
        <w:rPr>
          <w:bCs/>
          <w:sz w:val="28"/>
          <w:szCs w:val="28"/>
        </w:rPr>
        <w:t xml:space="preserve"> resa </w:t>
      </w:r>
      <w:proofErr w:type="gramStart"/>
      <w:r>
        <w:rPr>
          <w:bCs/>
          <w:sz w:val="28"/>
          <w:szCs w:val="28"/>
        </w:rPr>
        <w:t>con  Nota</w:t>
      </w:r>
      <w:proofErr w:type="gramEnd"/>
      <w:r>
        <w:rPr>
          <w:bCs/>
          <w:sz w:val="28"/>
          <w:szCs w:val="28"/>
        </w:rPr>
        <w:t xml:space="preserve">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w:t>
      </w:r>
      <w:proofErr w:type="spellStart"/>
      <w:r w:rsidR="00D80C8A">
        <w:rPr>
          <w:rFonts w:cs="Arial"/>
          <w:color w:val="333333"/>
          <w:sz w:val="28"/>
          <w:szCs w:val="28"/>
          <w:shd w:val="clear" w:color="auto" w:fill="FFFFFF"/>
        </w:rPr>
        <w:t>MePA</w:t>
      </w:r>
      <w:proofErr w:type="spellEnd"/>
      <w:r w:rsidR="00D80C8A">
        <w:rPr>
          <w:rFonts w:cs="Arial"/>
          <w:color w:val="333333"/>
          <w:sz w:val="28"/>
          <w:szCs w:val="28"/>
          <w:shd w:val="clear" w:color="auto" w:fill="FFFFFF"/>
        </w:rPr>
        <w:t xml:space="preserve">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Pr>
          <w:rFonts w:cs="Arial"/>
          <w:color w:val="333333"/>
          <w:sz w:val="28"/>
          <w:szCs w:val="28"/>
          <w:shd w:val="clear" w:color="auto" w:fill="FFFFFF"/>
        </w:rPr>
        <w:t>D.lgs</w:t>
      </w:r>
      <w:proofErr w:type="spellEnd"/>
      <w:r w:rsidR="00F466E4">
        <w:rPr>
          <w:rFonts w:cs="Arial"/>
          <w:color w:val="333333"/>
          <w:sz w:val="28"/>
          <w:szCs w:val="28"/>
          <w:shd w:val="clear" w:color="auto" w:fill="FFFFFF"/>
        </w:rPr>
        <w:t xml:space="preserve"> n. 50/2016 e </w:t>
      </w:r>
      <w:proofErr w:type="spellStart"/>
      <w:r w:rsidR="00F466E4">
        <w:rPr>
          <w:rFonts w:cs="Arial"/>
          <w:color w:val="333333"/>
          <w:sz w:val="28"/>
          <w:szCs w:val="28"/>
          <w:shd w:val="clear" w:color="auto" w:fill="FFFFFF"/>
        </w:rPr>
        <w:t>s.m.i.</w:t>
      </w:r>
      <w:proofErr w:type="spellEnd"/>
      <w:r w:rsidR="00F466E4">
        <w:rPr>
          <w:rFonts w:cs="Arial"/>
          <w:color w:val="333333"/>
          <w:sz w:val="28"/>
          <w:szCs w:val="28"/>
          <w:shd w:val="clear" w:color="auto" w:fill="FFFFFF"/>
        </w:rPr>
        <w:t>;</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 xml:space="preserve">che la scelta del contraente può avvenire mediante il criterio del minor prezzo ai sensi dell’art. 95, comma 4 del </w:t>
      </w:r>
      <w:proofErr w:type="spellStart"/>
      <w:r>
        <w:rPr>
          <w:rFonts w:cs="Arial"/>
          <w:color w:val="333333"/>
          <w:sz w:val="28"/>
          <w:szCs w:val="28"/>
          <w:shd w:val="clear" w:color="auto" w:fill="FFFFFF"/>
        </w:rPr>
        <w:t>D.Lgs.</w:t>
      </w:r>
      <w:proofErr w:type="spellEnd"/>
      <w:r>
        <w:rPr>
          <w:rFonts w:cs="Arial"/>
          <w:color w:val="333333"/>
          <w:sz w:val="28"/>
          <w:szCs w:val="28"/>
          <w:shd w:val="clear" w:color="auto" w:fill="FFFFFF"/>
        </w:rPr>
        <w:t xml:space="preserve"> n. 50/2016 e </w:t>
      </w:r>
      <w:proofErr w:type="spellStart"/>
      <w:r>
        <w:rPr>
          <w:rFonts w:cs="Arial"/>
          <w:color w:val="333333"/>
          <w:sz w:val="28"/>
          <w:szCs w:val="28"/>
          <w:shd w:val="clear" w:color="auto" w:fill="FFFFFF"/>
        </w:rPr>
        <w:t>s.m.i.</w:t>
      </w:r>
      <w:proofErr w:type="spellEnd"/>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3DE09E33"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 xml:space="preserve">che a seguito di verifica effettuata da catalogo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presente  sul </w:t>
      </w:r>
      <w:r w:rsidR="004E2E84">
        <w:rPr>
          <w:rFonts w:cs="Arial"/>
          <w:color w:val="333333"/>
          <w:sz w:val="28"/>
          <w:szCs w:val="28"/>
          <w:shd w:val="clear" w:color="auto" w:fill="FFFFFF"/>
        </w:rPr>
        <w:t xml:space="preserve">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342AB2">
        <w:rPr>
          <w:rFonts w:cs="Arial"/>
          <w:color w:val="333333"/>
          <w:sz w:val="28"/>
          <w:szCs w:val="28"/>
          <w:shd w:val="clear" w:color="auto" w:fill="FFFFFF"/>
        </w:rPr>
        <w:t>Paciello Orlando</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proofErr w:type="gramStart"/>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proofErr w:type="gramEnd"/>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 xml:space="preserve">on dichiarazione firmata digitalmente ai sensi ed agli effetti degli artt. 46, 47 e 76 del D.P.R. 445/2000, finalizzata all’abilitazione sul </w:t>
      </w:r>
      <w:proofErr w:type="spellStart"/>
      <w:r w:rsidR="00EF45B7">
        <w:rPr>
          <w:rFonts w:cs="Arial"/>
          <w:color w:val="333333"/>
          <w:sz w:val="28"/>
          <w:szCs w:val="28"/>
          <w:shd w:val="clear" w:color="auto" w:fill="FFFFFF"/>
        </w:rPr>
        <w:t>MePA</w:t>
      </w:r>
      <w:proofErr w:type="spellEnd"/>
      <w:r w:rsidR="00EF45B7">
        <w:rPr>
          <w:rFonts w:cs="Arial"/>
          <w:color w:val="333333"/>
          <w:sz w:val="28"/>
          <w:szCs w:val="28"/>
          <w:shd w:val="clear" w:color="auto" w:fill="FFFFFF"/>
        </w:rPr>
        <w:t xml:space="preserve"> , ha dichiarato, tra l’altro, di non rientrare tra le cause di esclusione di cui all’art. 80 del </w:t>
      </w:r>
      <w:proofErr w:type="spellStart"/>
      <w:r w:rsidR="00EF45B7">
        <w:rPr>
          <w:rFonts w:cs="Arial"/>
          <w:color w:val="333333"/>
          <w:sz w:val="28"/>
          <w:szCs w:val="28"/>
          <w:shd w:val="clear" w:color="auto" w:fill="FFFFFF"/>
        </w:rPr>
        <w:t>D.Lgs</w:t>
      </w:r>
      <w:proofErr w:type="spellEnd"/>
      <w:r w:rsidR="00EF45B7">
        <w:rPr>
          <w:rFonts w:cs="Arial"/>
          <w:color w:val="333333"/>
          <w:sz w:val="28"/>
          <w:szCs w:val="28"/>
          <w:shd w:val="clear" w:color="auto" w:fill="FFFFFF"/>
        </w:rPr>
        <w:t xml:space="preserve"> n. 50/2016 e </w:t>
      </w:r>
      <w:proofErr w:type="spellStart"/>
      <w:r w:rsidR="00EF45B7">
        <w:rPr>
          <w:rFonts w:cs="Arial"/>
          <w:color w:val="333333"/>
          <w:sz w:val="28"/>
          <w:szCs w:val="28"/>
          <w:shd w:val="clear" w:color="auto" w:fill="FFFFFF"/>
        </w:rPr>
        <w:t>s.m.i.</w:t>
      </w:r>
      <w:proofErr w:type="spellEnd"/>
      <w:r w:rsidR="00EF45B7">
        <w:rPr>
          <w:rFonts w:cs="Arial"/>
          <w:color w:val="333333"/>
          <w:sz w:val="28"/>
          <w:szCs w:val="28"/>
          <w:shd w:val="clear" w:color="auto" w:fill="FFFFFF"/>
        </w:rPr>
        <w:t>;</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1FD54BDE"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xml:space="preserve">- Affidamento diretto </w:t>
      </w:r>
      <w:proofErr w:type="gramStart"/>
      <w:r>
        <w:rPr>
          <w:rFonts w:cs="Arial"/>
          <w:color w:val="333333"/>
          <w:sz w:val="28"/>
          <w:szCs w:val="28"/>
          <w:shd w:val="clear" w:color="auto" w:fill="FFFFFF"/>
        </w:rPr>
        <w:t>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proofErr w:type="gramEnd"/>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w:t>
      </w:r>
      <w:proofErr w:type="spellStart"/>
      <w:r w:rsidR="00ED3405">
        <w:rPr>
          <w:rFonts w:cs="Arial"/>
          <w:color w:val="333333"/>
          <w:sz w:val="28"/>
          <w:szCs w:val="28"/>
          <w:shd w:val="clear" w:color="auto" w:fill="FFFFFF"/>
        </w:rPr>
        <w:t>D.Lgs</w:t>
      </w:r>
      <w:proofErr w:type="spellEnd"/>
      <w:r w:rsidR="00ED3405">
        <w:rPr>
          <w:rFonts w:cs="Arial"/>
          <w:color w:val="333333"/>
          <w:sz w:val="28"/>
          <w:szCs w:val="28"/>
          <w:shd w:val="clear" w:color="auto" w:fill="FFFFFF"/>
        </w:rPr>
        <w:t xml:space="preserve"> 50/2016 e </w:t>
      </w:r>
      <w:proofErr w:type="spellStart"/>
      <w:r w:rsidR="00ED3405">
        <w:rPr>
          <w:rFonts w:cs="Arial"/>
          <w:color w:val="333333"/>
          <w:sz w:val="28"/>
          <w:szCs w:val="28"/>
          <w:shd w:val="clear" w:color="auto" w:fill="FFFFFF"/>
        </w:rPr>
        <w:t>s.m.i.</w:t>
      </w:r>
      <w:proofErr w:type="spellEnd"/>
      <w:r w:rsidR="00ED3405">
        <w:rPr>
          <w:rFonts w:cs="Arial"/>
          <w:color w:val="333333"/>
          <w:sz w:val="28"/>
          <w:szCs w:val="28"/>
          <w:shd w:val="clear" w:color="auto" w:fill="FFFFFF"/>
        </w:rPr>
        <w:t xml:space="preserve">  per l’importo di €</w:t>
      </w:r>
      <w:r w:rsidR="005B15AF">
        <w:rPr>
          <w:rFonts w:cs="Arial"/>
          <w:color w:val="333333"/>
          <w:sz w:val="28"/>
          <w:szCs w:val="28"/>
          <w:shd w:val="clear" w:color="auto" w:fill="FFFFFF"/>
        </w:rPr>
        <w:t xml:space="preserve"> </w:t>
      </w:r>
      <w:r w:rsidR="00FC1EDC">
        <w:rPr>
          <w:rFonts w:cs="Arial"/>
          <w:color w:val="333333"/>
          <w:sz w:val="28"/>
          <w:szCs w:val="28"/>
          <w:shd w:val="clear" w:color="auto" w:fill="FFFFFF"/>
        </w:rPr>
        <w:t>79,00</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xml:space="preserve">- di pubblicare la presente determina sul sito web di </w:t>
      </w:r>
      <w:proofErr w:type="gramStart"/>
      <w:r>
        <w:rPr>
          <w:rFonts w:cs="Arial"/>
          <w:color w:val="333333"/>
          <w:sz w:val="28"/>
          <w:szCs w:val="28"/>
          <w:shd w:val="clear" w:color="auto" w:fill="FFFFFF"/>
        </w:rPr>
        <w:t>Ateneo ,</w:t>
      </w:r>
      <w:proofErr w:type="gramEnd"/>
      <w:r>
        <w:rPr>
          <w:rFonts w:cs="Arial"/>
          <w:color w:val="333333"/>
          <w:sz w:val="28"/>
          <w:szCs w:val="28"/>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4B2AFEC4"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645D42">
        <w:rPr>
          <w:rFonts w:cs="Arial"/>
          <w:color w:val="333333"/>
          <w:sz w:val="28"/>
          <w:szCs w:val="28"/>
          <w:shd w:val="clear" w:color="auto" w:fill="FFFFFF"/>
        </w:rPr>
        <w:t>06/02/2023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4082"/>
        <w:gridCol w:w="146"/>
        <w:gridCol w:w="699"/>
        <w:gridCol w:w="769"/>
        <w:gridCol w:w="615"/>
        <w:gridCol w:w="823"/>
        <w:gridCol w:w="1096"/>
        <w:gridCol w:w="820"/>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B6154B">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035AB56D" w:rsidR="00CF791E" w:rsidRPr="00CF791E" w:rsidRDefault="00645D42" w:rsidP="00CF791E">
            <w:pPr>
              <w:rPr>
                <w:rFonts w:ascii="Calibri" w:eastAsia="Times New Roman" w:hAnsi="Calibri" w:cs="Calibri"/>
                <w:color w:val="000000"/>
              </w:rPr>
            </w:pPr>
            <w:r>
              <w:rPr>
                <w:rFonts w:ascii="Calibri" w:eastAsia="Times New Roman" w:hAnsi="Calibri" w:cs="Calibri"/>
                <w:color w:val="000000"/>
              </w:rPr>
              <w:t>39</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6711BD3C" w:rsidR="00CF791E" w:rsidRPr="00CF791E" w:rsidRDefault="00645D42" w:rsidP="00CF791E">
            <w:pPr>
              <w:rPr>
                <w:rFonts w:ascii="Calibri" w:eastAsia="Times New Roman" w:hAnsi="Calibri" w:cs="Calibri"/>
                <w:color w:val="000000"/>
              </w:rPr>
            </w:pPr>
            <w:r>
              <w:rPr>
                <w:rFonts w:ascii="Calibri" w:eastAsia="Times New Roman" w:hAnsi="Calibri" w:cs="Calibri"/>
                <w:color w:val="000000"/>
              </w:rPr>
              <w:t>79,00</w:t>
            </w:r>
          </w:p>
        </w:tc>
        <w:tc>
          <w:tcPr>
            <w:tcW w:w="450" w:type="pct"/>
            <w:tcBorders>
              <w:top w:val="single" w:sz="8" w:space="0" w:color="auto"/>
              <w:left w:val="nil"/>
              <w:bottom w:val="single" w:sz="8" w:space="0" w:color="auto"/>
              <w:right w:val="single" w:sz="4" w:space="0" w:color="auto"/>
            </w:tcBorders>
            <w:shd w:val="clear" w:color="auto" w:fill="auto"/>
            <w:vAlign w:val="bottom"/>
            <w:hideMark/>
          </w:tcPr>
          <w:p w14:paraId="6C62728D" w14:textId="5C3D1BDD" w:rsidR="00CF791E" w:rsidRPr="00CF791E" w:rsidRDefault="00907987" w:rsidP="00CF791E">
            <w:pPr>
              <w:rPr>
                <w:rFonts w:ascii="Calibri" w:eastAsia="Times New Roman" w:hAnsi="Calibri" w:cs="Calibri"/>
                <w:color w:val="000000"/>
              </w:rPr>
            </w:pPr>
            <w:r w:rsidRPr="00907987">
              <w:rPr>
                <w:rFonts w:ascii="Calibri" w:eastAsia="Times New Roman" w:hAnsi="Calibri" w:cs="Calibri"/>
                <w:color w:val="000000"/>
              </w:rPr>
              <w:t>CA.04.41.04.06.07</w:t>
            </w:r>
          </w:p>
        </w:tc>
        <w:tc>
          <w:tcPr>
            <w:tcW w:w="442" w:type="pct"/>
            <w:gridSpan w:val="2"/>
            <w:tcBorders>
              <w:top w:val="single" w:sz="8" w:space="0" w:color="auto"/>
              <w:left w:val="nil"/>
              <w:bottom w:val="single" w:sz="8" w:space="0" w:color="auto"/>
              <w:right w:val="single" w:sz="4" w:space="0" w:color="auto"/>
            </w:tcBorders>
            <w:shd w:val="clear" w:color="auto" w:fill="auto"/>
            <w:vAlign w:val="bottom"/>
            <w:hideMark/>
          </w:tcPr>
          <w:p w14:paraId="6C62728E" w14:textId="1C409B15" w:rsidR="00CF791E" w:rsidRPr="00CF791E" w:rsidRDefault="00907987" w:rsidP="00CF791E">
            <w:pPr>
              <w:rPr>
                <w:rFonts w:ascii="Calibri" w:eastAsia="Times New Roman" w:hAnsi="Calibri" w:cs="Calibri"/>
                <w:color w:val="000000"/>
              </w:rPr>
            </w:pPr>
            <w:r w:rsidRPr="00907987">
              <w:rPr>
                <w:rFonts w:ascii="Calibri" w:eastAsia="Times New Roman" w:hAnsi="Calibri" w:cs="Calibri"/>
                <w:color w:val="000000"/>
              </w:rPr>
              <w:t>Altre spese per serviz</w:t>
            </w:r>
            <w:r w:rsidR="00B02F70">
              <w:rPr>
                <w:rFonts w:ascii="Calibri" w:eastAsia="Times New Roman" w:hAnsi="Calibri" w:cs="Calibri"/>
                <w:color w:val="000000"/>
              </w:rPr>
              <w:t>io</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4D4118FA" w:rsidR="00CF791E" w:rsidRPr="00CF791E" w:rsidRDefault="00CF6DA8" w:rsidP="00CF791E">
            <w:pPr>
              <w:rPr>
                <w:rFonts w:ascii="Verdana" w:eastAsia="Times New Roman" w:hAnsi="Verdana" w:cs="Calibri"/>
                <w:color w:val="333333"/>
                <w:sz w:val="18"/>
                <w:szCs w:val="18"/>
              </w:rPr>
            </w:pPr>
            <w:r w:rsidRPr="00CF6DA8">
              <w:rPr>
                <w:rFonts w:ascii="Verdana" w:eastAsia="Times New Roman" w:hAnsi="Verdana" w:cs="Calibri"/>
                <w:color w:val="333333"/>
                <w:sz w:val="18"/>
                <w:szCs w:val="18"/>
              </w:rPr>
              <w:t>000019--2021-MASTERPACIELLO_001_001</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3A8F1FE3"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2E5C00" w:rsidRPr="002E5C00">
              <w:t xml:space="preserve">Master di II livello "Scienze Forensi Veterinarie" </w:t>
            </w:r>
            <w:proofErr w:type="spellStart"/>
            <w:r w:rsidR="002E5C00" w:rsidRPr="002E5C00">
              <w:t>a.a</w:t>
            </w:r>
            <w:proofErr w:type="spellEnd"/>
            <w:r w:rsidR="002E5C00" w:rsidRPr="002E5C00">
              <w:t>. 2020/2021</w:t>
            </w:r>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9B9A9FD" w:rsidR="00CF791E" w:rsidRPr="00CF791E" w:rsidRDefault="00C907AE" w:rsidP="0060664B">
            <w:pPr>
              <w:jc w:val="both"/>
              <w:rPr>
                <w:rFonts w:ascii="Calibri" w:eastAsia="Times New Roman" w:hAnsi="Calibri" w:cs="Calibri"/>
                <w:b/>
                <w:bCs/>
                <w:color w:val="000000"/>
                <w:u w:val="single"/>
              </w:rPr>
            </w:pPr>
            <w:proofErr w:type="gramStart"/>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w:t>
            </w:r>
            <w:proofErr w:type="gramEnd"/>
            <w:r w:rsidR="0060664B">
              <w:rPr>
                <w:rFonts w:ascii="Calibri" w:eastAsia="Times New Roman" w:hAnsi="Calibri" w:cs="Calibri"/>
                <w:b/>
                <w:bCs/>
                <w:color w:val="000000"/>
                <w:u w:val="single"/>
              </w:rPr>
              <w:t xml:space="preserve"> </w:t>
            </w:r>
            <w:r w:rsidR="002E5C00">
              <w:rPr>
                <w:rFonts w:ascii="Calibri" w:eastAsia="Times New Roman" w:hAnsi="Calibri" w:cs="Calibri"/>
                <w:b/>
                <w:bCs/>
                <w:color w:val="000000"/>
                <w:u w:val="single"/>
              </w:rPr>
              <w:t>Orlando Paciello</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BD9A" w14:textId="77777777" w:rsidR="00E93339" w:rsidRDefault="00E93339" w:rsidP="00BD1044">
      <w:r>
        <w:separator/>
      </w:r>
    </w:p>
  </w:endnote>
  <w:endnote w:type="continuationSeparator" w:id="0">
    <w:p w14:paraId="05DECCF5" w14:textId="77777777" w:rsidR="00E93339" w:rsidRDefault="00E9333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07FF1" w14:textId="77777777" w:rsidR="00E93339" w:rsidRDefault="00E93339" w:rsidP="00BD1044">
      <w:r>
        <w:separator/>
      </w:r>
    </w:p>
  </w:footnote>
  <w:footnote w:type="continuationSeparator" w:id="0">
    <w:p w14:paraId="0635D86E" w14:textId="77777777" w:rsidR="00E93339" w:rsidRDefault="00E9333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6D46"/>
    <w:rsid w:val="0002515B"/>
    <w:rsid w:val="0002651D"/>
    <w:rsid w:val="00030CAD"/>
    <w:rsid w:val="00033B1A"/>
    <w:rsid w:val="00037F35"/>
    <w:rsid w:val="000400B5"/>
    <w:rsid w:val="00070A53"/>
    <w:rsid w:val="000822DD"/>
    <w:rsid w:val="000877D2"/>
    <w:rsid w:val="0008784A"/>
    <w:rsid w:val="00091433"/>
    <w:rsid w:val="00091A91"/>
    <w:rsid w:val="0009554B"/>
    <w:rsid w:val="000A68B7"/>
    <w:rsid w:val="000A6B28"/>
    <w:rsid w:val="000A71EE"/>
    <w:rsid w:val="000C6E39"/>
    <w:rsid w:val="000D44F5"/>
    <w:rsid w:val="000D46AD"/>
    <w:rsid w:val="000D68B1"/>
    <w:rsid w:val="000E4031"/>
    <w:rsid w:val="000E7BBF"/>
    <w:rsid w:val="000F6305"/>
    <w:rsid w:val="00121DDB"/>
    <w:rsid w:val="00125EE0"/>
    <w:rsid w:val="001274BC"/>
    <w:rsid w:val="00150F55"/>
    <w:rsid w:val="00152F75"/>
    <w:rsid w:val="00154FB4"/>
    <w:rsid w:val="0016268B"/>
    <w:rsid w:val="001703FE"/>
    <w:rsid w:val="0017299C"/>
    <w:rsid w:val="00181E9C"/>
    <w:rsid w:val="0018561B"/>
    <w:rsid w:val="001C71C3"/>
    <w:rsid w:val="001E0FD5"/>
    <w:rsid w:val="001E511B"/>
    <w:rsid w:val="001E6D7B"/>
    <w:rsid w:val="001F5C95"/>
    <w:rsid w:val="001F6382"/>
    <w:rsid w:val="002012AB"/>
    <w:rsid w:val="00201C5C"/>
    <w:rsid w:val="00215A70"/>
    <w:rsid w:val="00231AA0"/>
    <w:rsid w:val="002348ED"/>
    <w:rsid w:val="00241BD0"/>
    <w:rsid w:val="0024451D"/>
    <w:rsid w:val="00251DB4"/>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4F58"/>
    <w:rsid w:val="005E48C1"/>
    <w:rsid w:val="005F0700"/>
    <w:rsid w:val="005F653B"/>
    <w:rsid w:val="0060664B"/>
    <w:rsid w:val="006105B8"/>
    <w:rsid w:val="00616835"/>
    <w:rsid w:val="00632B06"/>
    <w:rsid w:val="006355AF"/>
    <w:rsid w:val="00637EFF"/>
    <w:rsid w:val="00645D42"/>
    <w:rsid w:val="006630BF"/>
    <w:rsid w:val="0069416C"/>
    <w:rsid w:val="006B28A3"/>
    <w:rsid w:val="006C3DD4"/>
    <w:rsid w:val="006C47E4"/>
    <w:rsid w:val="006D013F"/>
    <w:rsid w:val="00705F44"/>
    <w:rsid w:val="007078EF"/>
    <w:rsid w:val="00711A24"/>
    <w:rsid w:val="00716A22"/>
    <w:rsid w:val="007179EB"/>
    <w:rsid w:val="00723B9D"/>
    <w:rsid w:val="00732285"/>
    <w:rsid w:val="00741E36"/>
    <w:rsid w:val="00751225"/>
    <w:rsid w:val="00751CA0"/>
    <w:rsid w:val="0076001F"/>
    <w:rsid w:val="007700AE"/>
    <w:rsid w:val="00771F68"/>
    <w:rsid w:val="00777865"/>
    <w:rsid w:val="00783A75"/>
    <w:rsid w:val="0079042E"/>
    <w:rsid w:val="007B1254"/>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2468"/>
    <w:rsid w:val="00866E0E"/>
    <w:rsid w:val="00866FA3"/>
    <w:rsid w:val="008728AE"/>
    <w:rsid w:val="00892BEC"/>
    <w:rsid w:val="00893FA6"/>
    <w:rsid w:val="008954AF"/>
    <w:rsid w:val="008A3D62"/>
    <w:rsid w:val="008B0C31"/>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4EE"/>
    <w:rsid w:val="009C2B9C"/>
    <w:rsid w:val="009C37E9"/>
    <w:rsid w:val="009C6EA8"/>
    <w:rsid w:val="009E0EF0"/>
    <w:rsid w:val="009E2505"/>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F0045"/>
    <w:rsid w:val="00AF07B1"/>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73E"/>
    <w:rsid w:val="00C722F8"/>
    <w:rsid w:val="00C90579"/>
    <w:rsid w:val="00C907AE"/>
    <w:rsid w:val="00C95655"/>
    <w:rsid w:val="00C962CD"/>
    <w:rsid w:val="00CB1943"/>
    <w:rsid w:val="00CB6666"/>
    <w:rsid w:val="00CB691C"/>
    <w:rsid w:val="00CC11F7"/>
    <w:rsid w:val="00CE59D8"/>
    <w:rsid w:val="00CF6DA8"/>
    <w:rsid w:val="00CF791E"/>
    <w:rsid w:val="00D20743"/>
    <w:rsid w:val="00D22AE8"/>
    <w:rsid w:val="00D47953"/>
    <w:rsid w:val="00D55136"/>
    <w:rsid w:val="00D77151"/>
    <w:rsid w:val="00D80C8A"/>
    <w:rsid w:val="00D822BA"/>
    <w:rsid w:val="00D93A69"/>
    <w:rsid w:val="00DA44C3"/>
    <w:rsid w:val="00DA6A24"/>
    <w:rsid w:val="00DC1763"/>
    <w:rsid w:val="00DD3339"/>
    <w:rsid w:val="00DD410D"/>
    <w:rsid w:val="00DE3D8A"/>
    <w:rsid w:val="00DF3C27"/>
    <w:rsid w:val="00DF568D"/>
    <w:rsid w:val="00E00ED7"/>
    <w:rsid w:val="00E06DAD"/>
    <w:rsid w:val="00E139D0"/>
    <w:rsid w:val="00E2101A"/>
    <w:rsid w:val="00E211DC"/>
    <w:rsid w:val="00E24E17"/>
    <w:rsid w:val="00E253A7"/>
    <w:rsid w:val="00E306A7"/>
    <w:rsid w:val="00E3639A"/>
    <w:rsid w:val="00E51275"/>
    <w:rsid w:val="00E60EEF"/>
    <w:rsid w:val="00E6320B"/>
    <w:rsid w:val="00E641EB"/>
    <w:rsid w:val="00E70ACC"/>
    <w:rsid w:val="00E80C07"/>
    <w:rsid w:val="00E81AFA"/>
    <w:rsid w:val="00E93339"/>
    <w:rsid w:val="00EA31DC"/>
    <w:rsid w:val="00EA3CF4"/>
    <w:rsid w:val="00EA467D"/>
    <w:rsid w:val="00EB295B"/>
    <w:rsid w:val="00ED15E8"/>
    <w:rsid w:val="00ED3405"/>
    <w:rsid w:val="00EF0E7B"/>
    <w:rsid w:val="00EF45B7"/>
    <w:rsid w:val="00F215B4"/>
    <w:rsid w:val="00F23BBA"/>
    <w:rsid w:val="00F369B7"/>
    <w:rsid w:val="00F42C78"/>
    <w:rsid w:val="00F466E4"/>
    <w:rsid w:val="00F610DF"/>
    <w:rsid w:val="00F63F31"/>
    <w:rsid w:val="00F70C13"/>
    <w:rsid w:val="00F71A36"/>
    <w:rsid w:val="00F83BAD"/>
    <w:rsid w:val="00FA4907"/>
    <w:rsid w:val="00FA7881"/>
    <w:rsid w:val="00FC1EDC"/>
    <w:rsid w:val="00FC313C"/>
    <w:rsid w:val="00FE0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1178</Words>
  <Characters>6720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2023-02-06T12:58:00Z</cp:lastPrinted>
  <dcterms:created xsi:type="dcterms:W3CDTF">2023-07-04T09:14:00Z</dcterms:created>
  <dcterms:modified xsi:type="dcterms:W3CDTF">2023-07-04T09:14:00Z</dcterms:modified>
</cp:coreProperties>
</file>