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80218" w14:textId="77777777" w:rsidR="00443306" w:rsidRPr="00ED0509" w:rsidRDefault="00443306" w:rsidP="00443306">
      <w:pPr>
        <w:pBdr>
          <w:top w:val="single" w:sz="4" w:space="1" w:color="000000"/>
          <w:left w:val="single" w:sz="4" w:space="4" w:color="000000"/>
          <w:bottom w:val="single" w:sz="4" w:space="1" w:color="000000"/>
          <w:right w:val="single" w:sz="4" w:space="20" w:color="000000"/>
        </w:pBdr>
        <w:shd w:val="clear" w:color="auto" w:fill="D8D8D8"/>
        <w:jc w:val="right"/>
        <w:rPr>
          <w:b/>
          <w:bCs/>
          <w:iCs/>
        </w:rPr>
      </w:pPr>
      <w:r>
        <w:rPr>
          <w:b/>
          <w:bCs/>
          <w:iCs/>
        </w:rPr>
        <w:t>Modello 04.07</w:t>
      </w:r>
    </w:p>
    <w:p w14:paraId="0CD5F318" w14:textId="5095316D" w:rsidR="00CA472D" w:rsidRDefault="00443306" w:rsidP="00443306">
      <w:pPr>
        <w:pBdr>
          <w:top w:val="single" w:sz="4" w:space="1" w:color="000000"/>
          <w:left w:val="single" w:sz="4" w:space="4" w:color="000000"/>
          <w:bottom w:val="single" w:sz="4" w:space="1" w:color="000000"/>
          <w:right w:val="single" w:sz="4" w:space="20" w:color="000000"/>
        </w:pBdr>
        <w:shd w:val="clear" w:color="auto" w:fill="D8D8D8"/>
        <w:jc w:val="right"/>
        <w:rPr>
          <w:b/>
          <w:bCs/>
          <w:iCs/>
        </w:rPr>
      </w:pPr>
      <w:r>
        <w:rPr>
          <w:b/>
          <w:bCs/>
          <w:iCs/>
        </w:rPr>
        <w:t xml:space="preserve">  </w:t>
      </w:r>
      <w:bookmarkStart w:id="0" w:name="_Hlk127941560"/>
      <w:r w:rsidRPr="00DC3BDF">
        <w:rPr>
          <w:rFonts w:ascii="Calibri" w:hAnsi="Calibri" w:cs="Calibri"/>
          <w:color w:val="0000FF"/>
        </w:rPr>
        <w:t xml:space="preserve">Gara [MEPA </w:t>
      </w:r>
      <w:proofErr w:type="spellStart"/>
      <w:r>
        <w:rPr>
          <w:rFonts w:ascii="Calibri" w:hAnsi="Calibri" w:cs="Calibri"/>
          <w:color w:val="0000FF"/>
        </w:rPr>
        <w:t>xxxxxxx</w:t>
      </w:r>
      <w:proofErr w:type="spellEnd"/>
      <w:r w:rsidRPr="00DC3BDF">
        <w:rPr>
          <w:rFonts w:ascii="Calibri" w:hAnsi="Calibri" w:cs="Calibri"/>
          <w:color w:val="0000FF"/>
        </w:rPr>
        <w:t>]</w:t>
      </w:r>
      <w:bookmarkEnd w:id="0"/>
    </w:p>
    <w:tbl>
      <w:tblPr>
        <w:tblpPr w:leftFromText="141" w:rightFromText="141" w:vertAnchor="text" w:tblpY="1"/>
        <w:tblOverlap w:val="never"/>
        <w:tblW w:w="5258"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792"/>
        <w:gridCol w:w="5228"/>
        <w:gridCol w:w="1100"/>
        <w:gridCol w:w="3163"/>
      </w:tblGrid>
      <w:tr w:rsidR="00106335" w:rsidRPr="00FF6F51" w14:paraId="07CDD804" w14:textId="77777777" w:rsidTr="00DC0018">
        <w:trPr>
          <w:trHeight w:val="966"/>
          <w:tblHeader/>
        </w:trPr>
        <w:tc>
          <w:tcPr>
            <w:tcW w:w="5000" w:type="pct"/>
            <w:gridSpan w:val="4"/>
            <w:shd w:val="clear" w:color="auto" w:fill="002060"/>
            <w:vAlign w:val="center"/>
          </w:tcPr>
          <w:p w14:paraId="06D8DD60" w14:textId="72DBEF54" w:rsidR="00FB1006" w:rsidRDefault="00FB1006" w:rsidP="00FB1006">
            <w:pPr>
              <w:ind w:left="284" w:right="-143"/>
              <w:jc w:val="center"/>
              <w:rPr>
                <w:rFonts w:ascii="Titillium" w:hAnsi="Titillium"/>
                <w:i/>
                <w:iCs/>
                <w:szCs w:val="20"/>
              </w:rPr>
            </w:pPr>
            <w:r w:rsidRPr="00FB1006">
              <w:rPr>
                <w:rFonts w:ascii="Titillium" w:hAnsi="Titillium"/>
                <w:i/>
                <w:iCs/>
                <w:szCs w:val="20"/>
              </w:rPr>
              <w:t xml:space="preserve">Gara [MEPA </w:t>
            </w:r>
            <w:proofErr w:type="spellStart"/>
            <w:r w:rsidR="005F1288">
              <w:rPr>
                <w:rFonts w:ascii="Titillium" w:hAnsi="Titillium"/>
                <w:i/>
                <w:iCs/>
                <w:szCs w:val="20"/>
              </w:rPr>
              <w:t>xxxxxx</w:t>
            </w:r>
            <w:proofErr w:type="spellEnd"/>
            <w:r w:rsidRPr="00FB1006">
              <w:rPr>
                <w:rFonts w:ascii="Titillium" w:hAnsi="Titillium"/>
                <w:i/>
                <w:iCs/>
                <w:szCs w:val="20"/>
              </w:rPr>
              <w:t>] “</w:t>
            </w:r>
            <w:r w:rsidR="00535DA9">
              <w:rPr>
                <w:rFonts w:ascii="Titillium" w:hAnsi="Titillium"/>
                <w:i/>
                <w:iCs/>
              </w:rPr>
              <w:t>F</w:t>
            </w:r>
            <w:r w:rsidR="00535DA9" w:rsidRPr="00535DA9">
              <w:rPr>
                <w:rFonts w:ascii="Titillium" w:hAnsi="Titillium"/>
                <w:i/>
                <w:iCs/>
                <w:szCs w:val="20"/>
              </w:rPr>
              <w:t>ornitura e posa in opera della Rete Telematica Locale del Dipartimento di Fisica “Ettore Pancini”, che comprende il cablaggio e rispettivi apparati attivi</w:t>
            </w:r>
            <w:r w:rsidRPr="00FB1006">
              <w:rPr>
                <w:rFonts w:ascii="Titillium" w:hAnsi="Titillium"/>
                <w:i/>
                <w:iCs/>
                <w:szCs w:val="20"/>
              </w:rPr>
              <w:t>”</w:t>
            </w:r>
          </w:p>
          <w:p w14:paraId="2B80D08F" w14:textId="70532E4D" w:rsidR="00106335" w:rsidRPr="00FF6F51" w:rsidRDefault="00106335" w:rsidP="00FB1006">
            <w:pPr>
              <w:ind w:left="284" w:right="-143"/>
              <w:jc w:val="center"/>
              <w:rPr>
                <w:rFonts w:ascii="Titillium" w:hAnsi="Titillium"/>
                <w:b/>
                <w:bCs/>
                <w:sz w:val="20"/>
                <w:szCs w:val="20"/>
              </w:rPr>
            </w:pPr>
            <w:r w:rsidRPr="00FF6F51">
              <w:rPr>
                <w:rFonts w:ascii="Titillium" w:hAnsi="Titillium"/>
                <w:i/>
                <w:iCs/>
                <w:sz w:val="20"/>
                <w:szCs w:val="20"/>
              </w:rPr>
              <w:t>[Tutti i requisiti elencati devono essere posseduti a pena di esclusione dalla procedura]</w:t>
            </w:r>
          </w:p>
        </w:tc>
      </w:tr>
      <w:tr w:rsidR="00A906B9" w:rsidRPr="00FF6F51" w14:paraId="0FE3DBBC" w14:textId="77777777" w:rsidTr="00443306">
        <w:trPr>
          <w:trHeight w:val="408"/>
          <w:tblHeader/>
        </w:trPr>
        <w:tc>
          <w:tcPr>
            <w:tcW w:w="2927" w:type="pct"/>
            <w:gridSpan w:val="2"/>
            <w:shd w:val="clear" w:color="auto" w:fill="D9E2F3"/>
            <w:vAlign w:val="center"/>
          </w:tcPr>
          <w:p w14:paraId="7EE4D1AA" w14:textId="77777777" w:rsidR="00A906B9" w:rsidRPr="00FF6F51" w:rsidRDefault="00A906B9" w:rsidP="00DC0018">
            <w:pPr>
              <w:pStyle w:val="Default"/>
              <w:jc w:val="center"/>
              <w:rPr>
                <w:rFonts w:ascii="Titillium" w:hAnsi="Titillium"/>
                <w:color w:val="auto"/>
                <w:sz w:val="20"/>
                <w:szCs w:val="20"/>
              </w:rPr>
            </w:pPr>
            <w:r w:rsidRPr="00FF6F51">
              <w:rPr>
                <w:rFonts w:ascii="Titillium" w:hAnsi="Titillium"/>
                <w:color w:val="auto"/>
                <w:sz w:val="20"/>
                <w:szCs w:val="20"/>
              </w:rPr>
              <w:t>Specifiche tecniche per gruppi di edifici</w:t>
            </w:r>
          </w:p>
        </w:tc>
        <w:tc>
          <w:tcPr>
            <w:tcW w:w="535" w:type="pct"/>
            <w:shd w:val="clear" w:color="auto" w:fill="D9E2F3"/>
          </w:tcPr>
          <w:p w14:paraId="2B4C5A26" w14:textId="77777777" w:rsidR="00A906B9" w:rsidRPr="00FF6F51" w:rsidRDefault="00A906B9" w:rsidP="00DC0018">
            <w:pPr>
              <w:pStyle w:val="Default"/>
              <w:jc w:val="center"/>
              <w:rPr>
                <w:rFonts w:ascii="Titillium" w:hAnsi="Titillium"/>
                <w:color w:val="auto"/>
                <w:sz w:val="20"/>
                <w:szCs w:val="20"/>
              </w:rPr>
            </w:pPr>
            <w:r w:rsidRPr="00FF6F51">
              <w:rPr>
                <w:rFonts w:ascii="Titillium" w:hAnsi="Titillium"/>
                <w:color w:val="auto"/>
                <w:sz w:val="20"/>
                <w:szCs w:val="20"/>
              </w:rPr>
              <w:t>Requisito soddisfatto SI/NO</w:t>
            </w:r>
            <w:r w:rsidR="00106335" w:rsidRPr="00FF6F51">
              <w:rPr>
                <w:rFonts w:ascii="Titillium" w:hAnsi="Titillium"/>
                <w:color w:val="auto"/>
                <w:sz w:val="20"/>
                <w:szCs w:val="20"/>
              </w:rPr>
              <w:t>/</w:t>
            </w:r>
            <w:proofErr w:type="gramStart"/>
            <w:r w:rsidR="00106335" w:rsidRPr="00FF6F51">
              <w:rPr>
                <w:rFonts w:ascii="Titillium" w:hAnsi="Titillium"/>
                <w:color w:val="auto"/>
                <w:sz w:val="20"/>
                <w:szCs w:val="20"/>
              </w:rPr>
              <w:t>N.A</w:t>
            </w:r>
            <w:proofErr w:type="gramEnd"/>
          </w:p>
        </w:tc>
        <w:tc>
          <w:tcPr>
            <w:tcW w:w="1538" w:type="pct"/>
            <w:shd w:val="clear" w:color="auto" w:fill="D9E2F3"/>
          </w:tcPr>
          <w:p w14:paraId="2B2B3328" w14:textId="77777777" w:rsidR="00A906B9" w:rsidRPr="00FF6F51" w:rsidRDefault="00A906B9" w:rsidP="00DC0018">
            <w:pPr>
              <w:pStyle w:val="Default"/>
              <w:jc w:val="center"/>
              <w:rPr>
                <w:rFonts w:ascii="Titillium" w:hAnsi="Titillium"/>
                <w:color w:val="auto"/>
                <w:sz w:val="20"/>
                <w:szCs w:val="20"/>
              </w:rPr>
            </w:pPr>
            <w:r w:rsidRPr="00FF6F51">
              <w:rPr>
                <w:rFonts w:ascii="Titillium" w:hAnsi="Titillium"/>
                <w:color w:val="auto"/>
                <w:sz w:val="20"/>
                <w:szCs w:val="20"/>
              </w:rPr>
              <w:t xml:space="preserve">Riferimento documentale </w:t>
            </w:r>
          </w:p>
          <w:p w14:paraId="335646B8" w14:textId="77777777" w:rsidR="00A906B9" w:rsidRPr="00FF6F51" w:rsidRDefault="00A906B9" w:rsidP="00DC0018">
            <w:pPr>
              <w:pStyle w:val="Default"/>
              <w:jc w:val="center"/>
              <w:rPr>
                <w:rFonts w:ascii="Titillium" w:hAnsi="Titillium"/>
                <w:color w:val="auto"/>
                <w:sz w:val="20"/>
                <w:szCs w:val="20"/>
              </w:rPr>
            </w:pPr>
            <w:r w:rsidRPr="00FF6F51">
              <w:rPr>
                <w:rFonts w:ascii="Titillium" w:hAnsi="Titillium"/>
                <w:color w:val="auto"/>
                <w:sz w:val="20"/>
                <w:szCs w:val="20"/>
              </w:rPr>
              <w:t>(nome, paragrafo e nr. pagina)</w:t>
            </w:r>
          </w:p>
        </w:tc>
      </w:tr>
      <w:tr w:rsidR="00A906B9" w:rsidRPr="00FF6F51" w14:paraId="6F6F95B4" w14:textId="77777777" w:rsidTr="00443306">
        <w:trPr>
          <w:trHeight w:val="258"/>
        </w:trPr>
        <w:tc>
          <w:tcPr>
            <w:tcW w:w="385" w:type="pct"/>
            <w:vAlign w:val="center"/>
          </w:tcPr>
          <w:p w14:paraId="33717B70" w14:textId="77777777" w:rsidR="00A906B9" w:rsidRPr="00FF6F51" w:rsidRDefault="005B16FE" w:rsidP="00DC0018">
            <w:pPr>
              <w:pStyle w:val="Default"/>
              <w:jc w:val="center"/>
              <w:rPr>
                <w:rFonts w:ascii="Titillium" w:hAnsi="Titillium"/>
                <w:color w:val="auto"/>
                <w:sz w:val="20"/>
                <w:szCs w:val="20"/>
              </w:rPr>
            </w:pPr>
            <w:r w:rsidRPr="00FF6F51">
              <w:rPr>
                <w:rFonts w:ascii="Titillium" w:hAnsi="Titillium"/>
                <w:color w:val="auto"/>
                <w:sz w:val="20"/>
                <w:szCs w:val="20"/>
              </w:rPr>
              <w:t>1</w:t>
            </w:r>
          </w:p>
        </w:tc>
        <w:tc>
          <w:tcPr>
            <w:tcW w:w="2542" w:type="pct"/>
            <w:vAlign w:val="center"/>
          </w:tcPr>
          <w:p w14:paraId="23993DBF" w14:textId="77777777" w:rsidR="00A906B9" w:rsidRPr="00FF6F51" w:rsidRDefault="00A906B9" w:rsidP="00DC0018">
            <w:pPr>
              <w:pStyle w:val="Default"/>
              <w:rPr>
                <w:rFonts w:ascii="Titillium" w:hAnsi="Titillium"/>
                <w:color w:val="auto"/>
                <w:sz w:val="20"/>
                <w:szCs w:val="20"/>
              </w:rPr>
            </w:pPr>
          </w:p>
        </w:tc>
        <w:tc>
          <w:tcPr>
            <w:tcW w:w="535" w:type="pct"/>
          </w:tcPr>
          <w:p w14:paraId="48E29BDB" w14:textId="77777777" w:rsidR="00A906B9" w:rsidRPr="00FF6F51" w:rsidRDefault="00A906B9" w:rsidP="00DC0018">
            <w:pPr>
              <w:pStyle w:val="Default"/>
              <w:rPr>
                <w:rFonts w:ascii="Titillium" w:hAnsi="Titillium"/>
                <w:b/>
                <w:bCs/>
                <w:i/>
                <w:iCs/>
                <w:color w:val="auto"/>
                <w:sz w:val="20"/>
                <w:szCs w:val="20"/>
              </w:rPr>
            </w:pPr>
          </w:p>
        </w:tc>
        <w:tc>
          <w:tcPr>
            <w:tcW w:w="1538" w:type="pct"/>
          </w:tcPr>
          <w:p w14:paraId="388207BC" w14:textId="77777777" w:rsidR="00A906B9" w:rsidRPr="00FF6F51" w:rsidRDefault="00A906B9" w:rsidP="00DC0018">
            <w:pPr>
              <w:pStyle w:val="Default"/>
              <w:rPr>
                <w:rFonts w:ascii="Titillium" w:hAnsi="Titillium"/>
                <w:b/>
                <w:bCs/>
                <w:i/>
                <w:iCs/>
                <w:color w:val="auto"/>
                <w:sz w:val="20"/>
                <w:szCs w:val="20"/>
              </w:rPr>
            </w:pPr>
          </w:p>
        </w:tc>
      </w:tr>
      <w:tr w:rsidR="005B16FE" w:rsidRPr="00FF6F51" w14:paraId="42B507A5" w14:textId="77777777" w:rsidTr="00443306">
        <w:trPr>
          <w:trHeight w:val="258"/>
        </w:trPr>
        <w:tc>
          <w:tcPr>
            <w:tcW w:w="385" w:type="pct"/>
            <w:vAlign w:val="center"/>
          </w:tcPr>
          <w:p w14:paraId="26CF1580" w14:textId="77777777" w:rsidR="005B16FE" w:rsidRPr="00FF6F51" w:rsidRDefault="005B16FE" w:rsidP="00DC0018">
            <w:pPr>
              <w:pStyle w:val="Default"/>
              <w:jc w:val="center"/>
              <w:rPr>
                <w:rFonts w:ascii="Titillium" w:hAnsi="Titillium"/>
                <w:color w:val="auto"/>
                <w:sz w:val="20"/>
                <w:szCs w:val="20"/>
              </w:rPr>
            </w:pPr>
            <w:r w:rsidRPr="00FF6F51">
              <w:rPr>
                <w:rFonts w:ascii="Titillium" w:hAnsi="Titillium"/>
                <w:color w:val="auto"/>
                <w:sz w:val="20"/>
                <w:szCs w:val="20"/>
              </w:rPr>
              <w:t>2</w:t>
            </w:r>
          </w:p>
        </w:tc>
        <w:tc>
          <w:tcPr>
            <w:tcW w:w="2542" w:type="pct"/>
            <w:vAlign w:val="center"/>
          </w:tcPr>
          <w:p w14:paraId="717893C2" w14:textId="77777777" w:rsidR="005B16FE" w:rsidRPr="00FF6F51" w:rsidRDefault="005B16FE" w:rsidP="00DC0018">
            <w:pPr>
              <w:pStyle w:val="Default"/>
              <w:rPr>
                <w:rFonts w:ascii="Titillium" w:hAnsi="Titillium"/>
                <w:b/>
                <w:bCs/>
                <w:i/>
                <w:iCs/>
                <w:color w:val="auto"/>
                <w:sz w:val="20"/>
                <w:szCs w:val="20"/>
              </w:rPr>
            </w:pPr>
          </w:p>
        </w:tc>
        <w:tc>
          <w:tcPr>
            <w:tcW w:w="535" w:type="pct"/>
          </w:tcPr>
          <w:p w14:paraId="39C96586" w14:textId="77777777" w:rsidR="005B16FE" w:rsidRPr="00FF6F51" w:rsidRDefault="005B16FE" w:rsidP="00DC0018">
            <w:pPr>
              <w:pStyle w:val="Default"/>
              <w:rPr>
                <w:rFonts w:ascii="Titillium" w:hAnsi="Titillium"/>
                <w:b/>
                <w:bCs/>
                <w:i/>
                <w:iCs/>
                <w:color w:val="auto"/>
                <w:sz w:val="20"/>
                <w:szCs w:val="20"/>
              </w:rPr>
            </w:pPr>
          </w:p>
        </w:tc>
        <w:tc>
          <w:tcPr>
            <w:tcW w:w="1538" w:type="pct"/>
          </w:tcPr>
          <w:p w14:paraId="7E489CD1" w14:textId="77777777" w:rsidR="005B16FE" w:rsidRPr="00FF6F51" w:rsidRDefault="005B16FE" w:rsidP="00DC0018">
            <w:pPr>
              <w:pStyle w:val="Default"/>
              <w:rPr>
                <w:rFonts w:ascii="Titillium" w:hAnsi="Titillium"/>
                <w:b/>
                <w:bCs/>
                <w:i/>
                <w:iCs/>
                <w:color w:val="auto"/>
                <w:sz w:val="20"/>
                <w:szCs w:val="20"/>
              </w:rPr>
            </w:pPr>
          </w:p>
        </w:tc>
      </w:tr>
      <w:tr w:rsidR="005B16FE" w:rsidRPr="00FF6F51" w14:paraId="1CF6556A" w14:textId="77777777" w:rsidTr="00443306">
        <w:trPr>
          <w:trHeight w:val="258"/>
        </w:trPr>
        <w:tc>
          <w:tcPr>
            <w:tcW w:w="385" w:type="pct"/>
            <w:vAlign w:val="center"/>
          </w:tcPr>
          <w:p w14:paraId="35F31963" w14:textId="77777777" w:rsidR="005B16FE" w:rsidRPr="00FF6F51" w:rsidRDefault="005B16FE" w:rsidP="00DC0018">
            <w:pPr>
              <w:pStyle w:val="Default"/>
              <w:jc w:val="center"/>
              <w:rPr>
                <w:rFonts w:ascii="Titillium" w:hAnsi="Titillium"/>
                <w:color w:val="auto"/>
                <w:sz w:val="20"/>
                <w:szCs w:val="20"/>
              </w:rPr>
            </w:pPr>
            <w:r w:rsidRPr="00FF6F51">
              <w:rPr>
                <w:rFonts w:ascii="Titillium" w:hAnsi="Titillium"/>
                <w:color w:val="auto"/>
                <w:sz w:val="20"/>
                <w:szCs w:val="20"/>
              </w:rPr>
              <w:t>3</w:t>
            </w:r>
          </w:p>
        </w:tc>
        <w:tc>
          <w:tcPr>
            <w:tcW w:w="2542" w:type="pct"/>
            <w:vAlign w:val="center"/>
          </w:tcPr>
          <w:p w14:paraId="4A21B9A4" w14:textId="77777777" w:rsidR="005B16FE" w:rsidRPr="00FF6F51" w:rsidRDefault="005B16FE" w:rsidP="00DC0018">
            <w:pPr>
              <w:pStyle w:val="Default"/>
              <w:rPr>
                <w:rFonts w:ascii="Titillium" w:hAnsi="Titillium"/>
                <w:b/>
                <w:bCs/>
                <w:i/>
                <w:iCs/>
                <w:color w:val="auto"/>
                <w:sz w:val="20"/>
                <w:szCs w:val="20"/>
              </w:rPr>
            </w:pPr>
          </w:p>
        </w:tc>
        <w:tc>
          <w:tcPr>
            <w:tcW w:w="535" w:type="pct"/>
          </w:tcPr>
          <w:p w14:paraId="0ADB97C8" w14:textId="77777777" w:rsidR="005B16FE" w:rsidRPr="00FF6F51" w:rsidRDefault="005B16FE" w:rsidP="00DC0018">
            <w:pPr>
              <w:pStyle w:val="Default"/>
              <w:rPr>
                <w:rFonts w:ascii="Titillium" w:hAnsi="Titillium"/>
                <w:b/>
                <w:bCs/>
                <w:i/>
                <w:iCs/>
                <w:color w:val="auto"/>
                <w:sz w:val="20"/>
                <w:szCs w:val="20"/>
              </w:rPr>
            </w:pPr>
          </w:p>
        </w:tc>
        <w:tc>
          <w:tcPr>
            <w:tcW w:w="1538" w:type="pct"/>
          </w:tcPr>
          <w:p w14:paraId="255A86E9" w14:textId="77777777" w:rsidR="005B16FE" w:rsidRPr="00FF6F51" w:rsidRDefault="005B16FE" w:rsidP="00DC0018">
            <w:pPr>
              <w:pStyle w:val="Default"/>
              <w:rPr>
                <w:rFonts w:ascii="Titillium" w:hAnsi="Titillium"/>
                <w:b/>
                <w:bCs/>
                <w:i/>
                <w:iCs/>
                <w:color w:val="auto"/>
                <w:sz w:val="20"/>
                <w:szCs w:val="20"/>
              </w:rPr>
            </w:pPr>
          </w:p>
        </w:tc>
      </w:tr>
      <w:tr w:rsidR="003700E4" w:rsidRPr="00FF6F51" w14:paraId="3AE19A1A" w14:textId="77777777" w:rsidTr="00443306">
        <w:trPr>
          <w:trHeight w:val="258"/>
        </w:trPr>
        <w:tc>
          <w:tcPr>
            <w:tcW w:w="385" w:type="pct"/>
            <w:vAlign w:val="center"/>
          </w:tcPr>
          <w:p w14:paraId="313782E6" w14:textId="77777777" w:rsidR="003700E4" w:rsidRPr="00FF6F51" w:rsidRDefault="003700E4" w:rsidP="00DC0018">
            <w:pPr>
              <w:pStyle w:val="Default"/>
              <w:jc w:val="center"/>
              <w:rPr>
                <w:rFonts w:ascii="Titillium" w:hAnsi="Titillium"/>
                <w:color w:val="auto"/>
                <w:sz w:val="20"/>
                <w:szCs w:val="20"/>
              </w:rPr>
            </w:pPr>
            <w:r w:rsidRPr="00FF6F51">
              <w:rPr>
                <w:rFonts w:ascii="Titillium" w:hAnsi="Titillium"/>
                <w:color w:val="auto"/>
                <w:sz w:val="20"/>
                <w:szCs w:val="20"/>
              </w:rPr>
              <w:t>n</w:t>
            </w:r>
          </w:p>
        </w:tc>
        <w:tc>
          <w:tcPr>
            <w:tcW w:w="2542" w:type="pct"/>
            <w:vAlign w:val="center"/>
          </w:tcPr>
          <w:p w14:paraId="39A57EA8" w14:textId="77777777" w:rsidR="003700E4" w:rsidRPr="00FF6F51" w:rsidRDefault="003700E4" w:rsidP="00DC0018">
            <w:pPr>
              <w:pStyle w:val="Default"/>
              <w:rPr>
                <w:rFonts w:ascii="Titillium" w:hAnsi="Titillium"/>
                <w:b/>
                <w:bCs/>
                <w:i/>
                <w:iCs/>
                <w:color w:val="auto"/>
                <w:sz w:val="20"/>
                <w:szCs w:val="20"/>
              </w:rPr>
            </w:pPr>
          </w:p>
        </w:tc>
        <w:tc>
          <w:tcPr>
            <w:tcW w:w="535" w:type="pct"/>
          </w:tcPr>
          <w:p w14:paraId="1CF8C95A" w14:textId="77777777" w:rsidR="003700E4" w:rsidRPr="00FF6F51" w:rsidRDefault="003700E4" w:rsidP="00DC0018">
            <w:pPr>
              <w:pStyle w:val="Default"/>
              <w:rPr>
                <w:rFonts w:ascii="Titillium" w:hAnsi="Titillium"/>
                <w:b/>
                <w:bCs/>
                <w:i/>
                <w:iCs/>
                <w:color w:val="auto"/>
                <w:sz w:val="20"/>
                <w:szCs w:val="20"/>
              </w:rPr>
            </w:pPr>
          </w:p>
        </w:tc>
        <w:tc>
          <w:tcPr>
            <w:tcW w:w="1538" w:type="pct"/>
          </w:tcPr>
          <w:p w14:paraId="0F513EC4" w14:textId="77777777" w:rsidR="003700E4" w:rsidRPr="00FF6F51" w:rsidRDefault="003700E4" w:rsidP="00DC0018">
            <w:pPr>
              <w:pStyle w:val="Default"/>
              <w:rPr>
                <w:rFonts w:ascii="Titillium" w:hAnsi="Titillium"/>
                <w:b/>
                <w:bCs/>
                <w:i/>
                <w:iCs/>
                <w:color w:val="auto"/>
                <w:sz w:val="20"/>
                <w:szCs w:val="20"/>
              </w:rPr>
            </w:pPr>
          </w:p>
        </w:tc>
      </w:tr>
      <w:tr w:rsidR="003551E6" w:rsidRPr="00FF6F51" w14:paraId="1DB9BF6B" w14:textId="77777777" w:rsidTr="00DC0018">
        <w:trPr>
          <w:trHeight w:val="258"/>
        </w:trPr>
        <w:tc>
          <w:tcPr>
            <w:tcW w:w="5000" w:type="pct"/>
            <w:gridSpan w:val="4"/>
            <w:shd w:val="clear" w:color="auto" w:fill="F2F2F2"/>
            <w:vAlign w:val="center"/>
          </w:tcPr>
          <w:p w14:paraId="7BE1BA6C" w14:textId="77777777" w:rsidR="003551E6" w:rsidRPr="00FF6F51" w:rsidRDefault="007458EF" w:rsidP="00DC0018">
            <w:pPr>
              <w:pStyle w:val="Default"/>
              <w:rPr>
                <w:rFonts w:ascii="Titillium" w:hAnsi="Titillium"/>
                <w:b/>
                <w:bCs/>
                <w:i/>
                <w:iCs/>
                <w:color w:val="auto"/>
                <w:sz w:val="20"/>
                <w:szCs w:val="20"/>
              </w:rPr>
            </w:pPr>
            <w:r w:rsidRPr="00FF6F51">
              <w:rPr>
                <w:rFonts w:ascii="Titillium" w:hAnsi="Titillium"/>
                <w:b/>
                <w:bCs/>
                <w:color w:val="FF0000"/>
                <w:sz w:val="20"/>
                <w:szCs w:val="20"/>
              </w:rPr>
              <w:t>(se previsti)</w:t>
            </w:r>
            <w:r w:rsidRPr="00FF6F51">
              <w:rPr>
                <w:rFonts w:ascii="Titillium" w:hAnsi="Titillium"/>
                <w:b/>
                <w:bCs/>
                <w:color w:val="auto"/>
                <w:sz w:val="20"/>
                <w:szCs w:val="20"/>
              </w:rPr>
              <w:t xml:space="preserve"> CAM </w:t>
            </w:r>
            <w:r w:rsidR="003551E6" w:rsidRPr="00FF6F51">
              <w:rPr>
                <w:rFonts w:ascii="Titillium" w:hAnsi="Titillium"/>
                <w:b/>
                <w:bCs/>
                <w:color w:val="auto"/>
                <w:sz w:val="20"/>
                <w:szCs w:val="20"/>
              </w:rPr>
              <w:t>(</w:t>
            </w:r>
            <w:r w:rsidR="003551E6" w:rsidRPr="00FF6F51">
              <w:rPr>
                <w:rFonts w:ascii="Titillium" w:hAnsi="Titillium"/>
                <w:b/>
                <w:bCs/>
                <w:color w:val="FF0000"/>
                <w:sz w:val="20"/>
                <w:szCs w:val="20"/>
              </w:rPr>
              <w:t>es. edilizia</w:t>
            </w:r>
            <w:r w:rsidR="003551E6" w:rsidRPr="00FF6F51">
              <w:rPr>
                <w:rFonts w:ascii="Titillium" w:hAnsi="Titillium"/>
                <w:b/>
                <w:bCs/>
                <w:color w:val="auto"/>
                <w:sz w:val="20"/>
                <w:szCs w:val="20"/>
              </w:rPr>
              <w:t>)</w:t>
            </w:r>
          </w:p>
        </w:tc>
      </w:tr>
      <w:tr w:rsidR="005B16FE" w:rsidRPr="00FF6F51" w14:paraId="70460EFF" w14:textId="77777777" w:rsidTr="00443306">
        <w:trPr>
          <w:trHeight w:val="258"/>
        </w:trPr>
        <w:tc>
          <w:tcPr>
            <w:tcW w:w="385" w:type="pct"/>
            <w:vAlign w:val="center"/>
          </w:tcPr>
          <w:p w14:paraId="79F11AD9" w14:textId="77777777" w:rsidR="005B16FE" w:rsidRPr="00FF6F51" w:rsidRDefault="005B16FE" w:rsidP="00DC0018">
            <w:pPr>
              <w:pStyle w:val="Default"/>
              <w:jc w:val="center"/>
              <w:rPr>
                <w:rFonts w:ascii="Titillium" w:hAnsi="Titillium"/>
                <w:color w:val="auto"/>
                <w:sz w:val="20"/>
                <w:szCs w:val="20"/>
              </w:rPr>
            </w:pPr>
            <w:r w:rsidRPr="00FF6F51">
              <w:rPr>
                <w:rFonts w:ascii="Titillium" w:hAnsi="Titillium"/>
                <w:color w:val="auto"/>
                <w:sz w:val="20"/>
                <w:szCs w:val="20"/>
              </w:rPr>
              <w:t>1</w:t>
            </w:r>
          </w:p>
        </w:tc>
        <w:tc>
          <w:tcPr>
            <w:tcW w:w="2542" w:type="pct"/>
            <w:vAlign w:val="center"/>
          </w:tcPr>
          <w:p w14:paraId="319FF2C4" w14:textId="77777777" w:rsidR="005B16FE" w:rsidRPr="00FF6F51" w:rsidRDefault="005B16FE" w:rsidP="00DC0018">
            <w:pPr>
              <w:pStyle w:val="Default"/>
              <w:rPr>
                <w:rFonts w:ascii="Titillium" w:hAnsi="Titillium"/>
                <w:b/>
                <w:bCs/>
                <w:i/>
                <w:iCs/>
                <w:color w:val="auto"/>
                <w:sz w:val="20"/>
                <w:szCs w:val="20"/>
              </w:rPr>
            </w:pPr>
            <w:r w:rsidRPr="00FF6F51">
              <w:rPr>
                <w:rFonts w:ascii="Titillium" w:hAnsi="Titillium"/>
                <w:b/>
                <w:bCs/>
                <w:i/>
                <w:iCs/>
                <w:color w:val="auto"/>
                <w:sz w:val="20"/>
                <w:szCs w:val="20"/>
              </w:rPr>
              <w:t>Inserimento naturalistico e paesaggistico</w:t>
            </w:r>
            <w:r w:rsidRPr="00FF6F51">
              <w:rPr>
                <w:rFonts w:ascii="Titillium" w:hAnsi="Titillium"/>
                <w:color w:val="auto"/>
                <w:sz w:val="20"/>
                <w:szCs w:val="20"/>
              </w:rPr>
              <w:t xml:space="preserve"> – il progetto di nuovi edifici, ferme restando le norme e i regolamenti più restrittivi, deve garantire la conservazione degli habitat presenti nell’area dell’intervento e la relativa vegetazione. Tali habitat devono essere il più possibile interconnessi fisicamente ad habitat esterni all’area dell’intervento, esistenti o previsti da piani e programmi e interconnessi anche fra di loro all’interno dell’area del progetto. Al fine di consentire l’applicazione di quanto sopra, i criteri di conservazione degli habitat e i criteri per tutelare la interconnessione tra le aree devono essere definiti da un professionista abilitato e iscritto in albi ambito ambientale, valutabile sulla base dei requisiti di idoneità professionale e di capacità tecnico-organizzativa di volta in volta richiesti dalla stazione appaltante. Il progetto dovrà, altresì, indicare, una selezione delle specie arboree e arbustive da mettere a dimora in tali aree, tenendo conto della funzione di assorbimento delle sostanze inquinanti in atmosfera, e di regolazione del microclima e utilizzando specie che presentino le seguenti caratteristiche: ridotta esigenza idrica; resistenza alle fitopatologie; assenza di effetti nocivi per la salute umana.</w:t>
            </w:r>
          </w:p>
        </w:tc>
        <w:tc>
          <w:tcPr>
            <w:tcW w:w="535" w:type="pct"/>
          </w:tcPr>
          <w:p w14:paraId="60310D76" w14:textId="77777777" w:rsidR="005B16FE" w:rsidRPr="00FF6F51" w:rsidRDefault="005B16FE" w:rsidP="00DC0018">
            <w:pPr>
              <w:pStyle w:val="Default"/>
              <w:rPr>
                <w:rFonts w:ascii="Titillium" w:hAnsi="Titillium"/>
                <w:b/>
                <w:bCs/>
                <w:i/>
                <w:iCs/>
                <w:color w:val="auto"/>
                <w:sz w:val="20"/>
                <w:szCs w:val="20"/>
              </w:rPr>
            </w:pPr>
          </w:p>
        </w:tc>
        <w:tc>
          <w:tcPr>
            <w:tcW w:w="1538" w:type="pct"/>
          </w:tcPr>
          <w:p w14:paraId="54DE53EA" w14:textId="77777777" w:rsidR="005B16FE" w:rsidRPr="00FF6F51" w:rsidRDefault="005B16FE" w:rsidP="00DC0018">
            <w:pPr>
              <w:pStyle w:val="Default"/>
              <w:rPr>
                <w:rFonts w:ascii="Titillium" w:hAnsi="Titillium"/>
                <w:b/>
                <w:bCs/>
                <w:i/>
                <w:iCs/>
                <w:color w:val="auto"/>
                <w:sz w:val="20"/>
                <w:szCs w:val="20"/>
              </w:rPr>
            </w:pPr>
          </w:p>
        </w:tc>
      </w:tr>
      <w:tr w:rsidR="005B16FE" w:rsidRPr="00FF6F51" w14:paraId="3EA5E874" w14:textId="77777777" w:rsidTr="00443306">
        <w:trPr>
          <w:trHeight w:val="276"/>
        </w:trPr>
        <w:tc>
          <w:tcPr>
            <w:tcW w:w="385" w:type="pct"/>
            <w:vAlign w:val="center"/>
          </w:tcPr>
          <w:p w14:paraId="4ABA486B" w14:textId="77777777" w:rsidR="005B16FE" w:rsidRPr="00FF6F51" w:rsidRDefault="005B16FE" w:rsidP="00DC0018">
            <w:pPr>
              <w:pStyle w:val="Default"/>
              <w:jc w:val="center"/>
              <w:rPr>
                <w:rFonts w:ascii="Titillium" w:hAnsi="Titillium"/>
                <w:color w:val="auto"/>
                <w:sz w:val="20"/>
                <w:szCs w:val="20"/>
              </w:rPr>
            </w:pPr>
            <w:r w:rsidRPr="00FF6F51">
              <w:rPr>
                <w:rFonts w:ascii="Titillium" w:hAnsi="Titillium"/>
                <w:color w:val="auto"/>
                <w:sz w:val="20"/>
                <w:szCs w:val="20"/>
              </w:rPr>
              <w:t>2</w:t>
            </w:r>
          </w:p>
        </w:tc>
        <w:tc>
          <w:tcPr>
            <w:tcW w:w="2542" w:type="pct"/>
            <w:vAlign w:val="center"/>
          </w:tcPr>
          <w:p w14:paraId="67790D68" w14:textId="77777777" w:rsidR="005B16FE" w:rsidRPr="00FF6F51" w:rsidRDefault="005B16FE" w:rsidP="00DC0018">
            <w:pPr>
              <w:pStyle w:val="Default"/>
              <w:rPr>
                <w:rFonts w:ascii="Titillium" w:hAnsi="Titillium"/>
                <w:color w:val="auto"/>
                <w:sz w:val="20"/>
                <w:szCs w:val="20"/>
              </w:rPr>
            </w:pPr>
            <w:r w:rsidRPr="00FF6F51">
              <w:rPr>
                <w:rFonts w:ascii="Titillium" w:hAnsi="Titillium"/>
                <w:b/>
                <w:bCs/>
                <w:i/>
                <w:iCs/>
                <w:color w:val="auto"/>
                <w:sz w:val="20"/>
                <w:szCs w:val="20"/>
              </w:rPr>
              <w:t>Sistemazione aree a verde</w:t>
            </w:r>
            <w:r w:rsidRPr="00FF6F51">
              <w:rPr>
                <w:rFonts w:ascii="Titillium" w:hAnsi="Titillium"/>
                <w:color w:val="auto"/>
                <w:sz w:val="20"/>
                <w:szCs w:val="20"/>
              </w:rPr>
              <w:t xml:space="preserve"> – per la sistemazione aree a verde devono essere considerate le azioni che facilitano la successiva gestione e manutenzione, affinché possano perdurare gli effetti positivi conseguenti all’adozione dei criteri ambientali adottati in sede progettuale. Deve essere previsto che durante la manutenzione delle opere siano adottate tecniche di manutenzione del patrimonio verde esistente con interventi di controllo precedenti al periodo di fioritura al fine di evitare la diffusione del polline. Nella scelta delle piante devono essere seguite le seguenti indicazioni: utilizzare specie autoctone con pollini dal basso potere allergenico; nel caso di specie con polline allergenico da moderato a elevato, favorire le piante femminili o sterili; favorire le piante ad impollinazione entomofila, ovvero che producono piccole quantità di polline la cui dispersione è affidata agli insetti; evitare specie urticanti o spinose  o </w:t>
            </w:r>
            <w:r w:rsidRPr="00FF6F51">
              <w:rPr>
                <w:rFonts w:ascii="Titillium" w:hAnsi="Titillium"/>
                <w:color w:val="auto"/>
                <w:sz w:val="20"/>
                <w:szCs w:val="20"/>
              </w:rPr>
              <w:lastRenderedPageBreak/>
              <w:t>tossiche; utilizzare specie erbacee con apparato radicale profondo nei casi di stabilizzazione di aree verdi con elevata pendenza e soggette a smottamenti superficiali; non utilizzare specie arboree note per la fragilità dell’apparato radicale, del fusto o delle fronde che potrebbero causare danni in caso di eventi meteorici intensi.</w:t>
            </w:r>
          </w:p>
        </w:tc>
        <w:tc>
          <w:tcPr>
            <w:tcW w:w="535" w:type="pct"/>
          </w:tcPr>
          <w:p w14:paraId="2A043523" w14:textId="77777777" w:rsidR="005B16FE" w:rsidRPr="00FF6F51" w:rsidRDefault="005B16FE" w:rsidP="00DC0018">
            <w:pPr>
              <w:pStyle w:val="Default"/>
              <w:rPr>
                <w:rFonts w:ascii="Titillium" w:hAnsi="Titillium"/>
                <w:b/>
                <w:bCs/>
                <w:i/>
                <w:iCs/>
                <w:color w:val="auto"/>
                <w:sz w:val="20"/>
                <w:szCs w:val="20"/>
              </w:rPr>
            </w:pPr>
          </w:p>
        </w:tc>
        <w:tc>
          <w:tcPr>
            <w:tcW w:w="1538" w:type="pct"/>
          </w:tcPr>
          <w:p w14:paraId="7E7737D5" w14:textId="77777777" w:rsidR="005B16FE" w:rsidRPr="00FF6F51" w:rsidRDefault="005B16FE" w:rsidP="00DC0018">
            <w:pPr>
              <w:pStyle w:val="Default"/>
              <w:rPr>
                <w:rFonts w:ascii="Titillium" w:hAnsi="Titillium"/>
                <w:b/>
                <w:bCs/>
                <w:i/>
                <w:iCs/>
                <w:color w:val="auto"/>
                <w:sz w:val="20"/>
                <w:szCs w:val="20"/>
              </w:rPr>
            </w:pPr>
          </w:p>
        </w:tc>
      </w:tr>
      <w:tr w:rsidR="005B16FE" w:rsidRPr="00FF6F51" w14:paraId="2F173564" w14:textId="77777777" w:rsidTr="00443306">
        <w:trPr>
          <w:trHeight w:val="280"/>
        </w:trPr>
        <w:tc>
          <w:tcPr>
            <w:tcW w:w="385" w:type="pct"/>
            <w:vAlign w:val="center"/>
          </w:tcPr>
          <w:p w14:paraId="7DD39090" w14:textId="77777777" w:rsidR="005B16FE" w:rsidRPr="00FF6F51" w:rsidRDefault="005B16FE" w:rsidP="00DC0018">
            <w:pPr>
              <w:pStyle w:val="Default"/>
              <w:jc w:val="center"/>
              <w:rPr>
                <w:rFonts w:ascii="Titillium" w:hAnsi="Titillium"/>
                <w:color w:val="auto"/>
                <w:sz w:val="20"/>
                <w:szCs w:val="20"/>
              </w:rPr>
            </w:pPr>
            <w:r w:rsidRPr="00FF6F51">
              <w:rPr>
                <w:rFonts w:ascii="Titillium" w:hAnsi="Titillium"/>
                <w:color w:val="auto"/>
                <w:sz w:val="20"/>
                <w:szCs w:val="20"/>
              </w:rPr>
              <w:t>3</w:t>
            </w:r>
          </w:p>
        </w:tc>
        <w:tc>
          <w:tcPr>
            <w:tcW w:w="2542" w:type="pct"/>
            <w:vAlign w:val="center"/>
          </w:tcPr>
          <w:p w14:paraId="385DF021" w14:textId="77777777" w:rsidR="005B16FE" w:rsidRPr="00FF6F51" w:rsidRDefault="005B16FE" w:rsidP="00DC0018">
            <w:pPr>
              <w:pStyle w:val="Default"/>
              <w:rPr>
                <w:rFonts w:ascii="Titillium" w:hAnsi="Titillium"/>
                <w:color w:val="auto"/>
                <w:sz w:val="20"/>
                <w:szCs w:val="20"/>
              </w:rPr>
            </w:pPr>
            <w:r w:rsidRPr="00FF6F51">
              <w:rPr>
                <w:rFonts w:ascii="Titillium" w:hAnsi="Titillium"/>
                <w:b/>
                <w:bCs/>
                <w:i/>
                <w:iCs/>
                <w:color w:val="auto"/>
                <w:sz w:val="20"/>
                <w:szCs w:val="20"/>
              </w:rPr>
              <w:t>Riduzione del consumo di suolo e mantenimento della permeabilità dei suoli</w:t>
            </w:r>
            <w:r w:rsidRPr="00FF6F51">
              <w:rPr>
                <w:rFonts w:ascii="Titillium" w:hAnsi="Titillium"/>
                <w:color w:val="auto"/>
                <w:sz w:val="20"/>
                <w:szCs w:val="20"/>
              </w:rPr>
              <w:t xml:space="preserve"> - Il progetto di nuovi edifici o gli interventi di ristrutturazione urbanistica, ferme restando le norme e i regolamenti più restrittivi, deve avere le seguenti caratteristiche: non può prevedere nuovi edifici o aumenti di volumi di edifici esistenti in aree protette di qualunque livello e genere. deve prevedere una superficie territoriale permeabile non inferiore al 60% della superficie di progetto; deve prevedere una superficie da destinare a verde pari ad almeno il 40% della superficie di progetto non edificata e il 30% della superficie totale del lotto; deve garantire, nelle aree a verde pubblico, una copertura arborea di almeno il 40% e arbustiva di almeno il 20% con specie autoctone, privilegiando le specie vegetali che hanno strategie riproduttive prevalentemente entomofile ovvero che producano piccole quantità di polline la cui dispersione è affidata agli insetti; deve prevedere l’impiego di materiali drenanti per le superfici urbanizzate pedonali e ciclabili; l’obbligo si estende anche alle superfici carrabili in ambito di protezione ambientale; deve prevedere, nella progettazione esecutiva, e di cantiere la realizzazione di uno scotico superficiale di almeno 60 cm delle aree per le quali sono previsti scavi o rilevati. Lo scotico dovrà essere accantonato in cantiere in modo tale da non comprometterne le caratteristiche fisiche, chimiche e biologiche ed essere riutilizzato per le sistemazioni a verde su superfici modificate.</w:t>
            </w:r>
          </w:p>
        </w:tc>
        <w:tc>
          <w:tcPr>
            <w:tcW w:w="535" w:type="pct"/>
          </w:tcPr>
          <w:p w14:paraId="06D1F9BC" w14:textId="77777777" w:rsidR="005B16FE" w:rsidRPr="00FF6F51" w:rsidRDefault="005B16FE" w:rsidP="00DC0018">
            <w:pPr>
              <w:pStyle w:val="Default"/>
              <w:rPr>
                <w:rFonts w:ascii="Titillium" w:hAnsi="Titillium"/>
                <w:b/>
                <w:bCs/>
                <w:i/>
                <w:iCs/>
                <w:color w:val="auto"/>
                <w:sz w:val="20"/>
                <w:szCs w:val="20"/>
              </w:rPr>
            </w:pPr>
          </w:p>
        </w:tc>
        <w:tc>
          <w:tcPr>
            <w:tcW w:w="1538" w:type="pct"/>
          </w:tcPr>
          <w:p w14:paraId="4066494F" w14:textId="77777777" w:rsidR="005B16FE" w:rsidRPr="00FF6F51" w:rsidRDefault="005B16FE" w:rsidP="00DC0018">
            <w:pPr>
              <w:pStyle w:val="Default"/>
              <w:rPr>
                <w:rFonts w:ascii="Titillium" w:hAnsi="Titillium"/>
                <w:b/>
                <w:bCs/>
                <w:i/>
                <w:iCs/>
                <w:color w:val="auto"/>
                <w:sz w:val="20"/>
                <w:szCs w:val="20"/>
              </w:rPr>
            </w:pPr>
          </w:p>
        </w:tc>
      </w:tr>
      <w:tr w:rsidR="005B16FE" w:rsidRPr="00FF6F51" w14:paraId="5E295806" w14:textId="77777777" w:rsidTr="00443306">
        <w:trPr>
          <w:trHeight w:val="256"/>
        </w:trPr>
        <w:tc>
          <w:tcPr>
            <w:tcW w:w="385" w:type="pct"/>
            <w:vAlign w:val="center"/>
          </w:tcPr>
          <w:p w14:paraId="28680111" w14:textId="77777777" w:rsidR="005B16FE" w:rsidRPr="00FF6F51" w:rsidRDefault="005B16FE" w:rsidP="00DC0018">
            <w:pPr>
              <w:pStyle w:val="Default"/>
              <w:jc w:val="center"/>
              <w:rPr>
                <w:rFonts w:ascii="Titillium" w:hAnsi="Titillium"/>
                <w:color w:val="auto"/>
                <w:sz w:val="20"/>
                <w:szCs w:val="20"/>
              </w:rPr>
            </w:pPr>
            <w:r w:rsidRPr="00FF6F51">
              <w:rPr>
                <w:rFonts w:ascii="Titillium" w:hAnsi="Titillium"/>
                <w:color w:val="auto"/>
                <w:sz w:val="20"/>
                <w:szCs w:val="20"/>
              </w:rPr>
              <w:t>4</w:t>
            </w:r>
          </w:p>
        </w:tc>
        <w:tc>
          <w:tcPr>
            <w:tcW w:w="2542" w:type="pct"/>
            <w:vAlign w:val="center"/>
          </w:tcPr>
          <w:p w14:paraId="38FDA472" w14:textId="77777777" w:rsidR="005B16FE" w:rsidRPr="00FF6F51" w:rsidRDefault="005B16FE" w:rsidP="00DC0018">
            <w:pPr>
              <w:pStyle w:val="Default"/>
              <w:rPr>
                <w:rFonts w:ascii="Titillium" w:hAnsi="Titillium"/>
                <w:color w:val="auto"/>
                <w:sz w:val="20"/>
                <w:szCs w:val="20"/>
              </w:rPr>
            </w:pPr>
            <w:r w:rsidRPr="00FF6F51">
              <w:rPr>
                <w:rFonts w:ascii="Titillium" w:hAnsi="Titillium"/>
                <w:b/>
                <w:bCs/>
                <w:i/>
                <w:iCs/>
                <w:color w:val="auto"/>
                <w:sz w:val="20"/>
                <w:szCs w:val="20"/>
              </w:rPr>
              <w:t>Conservazione dei caratteri morfologici</w:t>
            </w:r>
            <w:r w:rsidRPr="00FF6F51">
              <w:rPr>
                <w:rFonts w:ascii="Titillium" w:hAnsi="Titillium"/>
                <w:color w:val="auto"/>
                <w:sz w:val="20"/>
                <w:szCs w:val="20"/>
              </w:rPr>
              <w:t xml:space="preserve"> - Il progetto di nuovi edifici, ferme restando le norme e i regolamenti più restrittivi, deve garantire il mantenimento dei profili morfologici esistenti, salvo quanto previsto nei piani di difesa del suolo.</w:t>
            </w:r>
          </w:p>
        </w:tc>
        <w:tc>
          <w:tcPr>
            <w:tcW w:w="535" w:type="pct"/>
          </w:tcPr>
          <w:p w14:paraId="759A76E3" w14:textId="77777777" w:rsidR="005B16FE" w:rsidRPr="00FF6F51" w:rsidRDefault="005B16FE" w:rsidP="00DC0018">
            <w:pPr>
              <w:pStyle w:val="Default"/>
              <w:rPr>
                <w:rFonts w:ascii="Titillium" w:hAnsi="Titillium"/>
                <w:b/>
                <w:bCs/>
                <w:i/>
                <w:iCs/>
                <w:color w:val="auto"/>
                <w:sz w:val="20"/>
                <w:szCs w:val="20"/>
              </w:rPr>
            </w:pPr>
          </w:p>
        </w:tc>
        <w:tc>
          <w:tcPr>
            <w:tcW w:w="1538" w:type="pct"/>
          </w:tcPr>
          <w:p w14:paraId="41CFDBA0" w14:textId="77777777" w:rsidR="005B16FE" w:rsidRPr="00FF6F51" w:rsidRDefault="005B16FE" w:rsidP="00DC0018">
            <w:pPr>
              <w:pStyle w:val="Default"/>
              <w:rPr>
                <w:rFonts w:ascii="Titillium" w:hAnsi="Titillium"/>
                <w:b/>
                <w:bCs/>
                <w:i/>
                <w:iCs/>
                <w:color w:val="auto"/>
                <w:sz w:val="20"/>
                <w:szCs w:val="20"/>
              </w:rPr>
            </w:pPr>
          </w:p>
        </w:tc>
      </w:tr>
      <w:tr w:rsidR="005B16FE" w:rsidRPr="00FF6F51" w14:paraId="0D30393A" w14:textId="77777777" w:rsidTr="00443306">
        <w:trPr>
          <w:trHeight w:val="274"/>
        </w:trPr>
        <w:tc>
          <w:tcPr>
            <w:tcW w:w="385" w:type="pct"/>
            <w:vAlign w:val="center"/>
          </w:tcPr>
          <w:p w14:paraId="7322C248" w14:textId="77777777" w:rsidR="005B16FE" w:rsidRPr="00FF6F51" w:rsidRDefault="005B16FE" w:rsidP="00DC0018">
            <w:pPr>
              <w:pStyle w:val="Default"/>
              <w:jc w:val="center"/>
              <w:rPr>
                <w:rFonts w:ascii="Titillium" w:hAnsi="Titillium"/>
                <w:color w:val="auto"/>
                <w:sz w:val="20"/>
                <w:szCs w:val="20"/>
              </w:rPr>
            </w:pPr>
            <w:r w:rsidRPr="00FF6F51">
              <w:rPr>
                <w:rFonts w:ascii="Titillium" w:hAnsi="Titillium"/>
                <w:color w:val="auto"/>
                <w:sz w:val="20"/>
                <w:szCs w:val="20"/>
              </w:rPr>
              <w:t>5</w:t>
            </w:r>
          </w:p>
        </w:tc>
        <w:tc>
          <w:tcPr>
            <w:tcW w:w="2542" w:type="pct"/>
            <w:vAlign w:val="center"/>
          </w:tcPr>
          <w:p w14:paraId="178437C6" w14:textId="77777777" w:rsidR="005B16FE" w:rsidRPr="00FF6F51" w:rsidRDefault="005B16FE" w:rsidP="00DC0018">
            <w:pPr>
              <w:pStyle w:val="Default"/>
              <w:rPr>
                <w:rFonts w:ascii="Titillium" w:hAnsi="Titillium"/>
                <w:color w:val="auto"/>
                <w:sz w:val="20"/>
                <w:szCs w:val="20"/>
              </w:rPr>
            </w:pPr>
            <w:r w:rsidRPr="00FF6F51">
              <w:rPr>
                <w:rFonts w:ascii="Titillium" w:hAnsi="Titillium"/>
                <w:b/>
                <w:bCs/>
                <w:i/>
                <w:iCs/>
                <w:color w:val="auto"/>
                <w:sz w:val="20"/>
                <w:szCs w:val="20"/>
              </w:rPr>
              <w:t>Approvvigionamento energetico</w:t>
            </w:r>
            <w:r w:rsidRPr="00FF6F51">
              <w:rPr>
                <w:rFonts w:ascii="Titillium" w:hAnsi="Titillium"/>
                <w:color w:val="auto"/>
                <w:sz w:val="20"/>
                <w:szCs w:val="20"/>
              </w:rPr>
              <w:t xml:space="preserve"> - Il progetto di nuovi edifici o la riqualificazione energetica di edifici esistenti, ferme restando le norme e i regolamenti più restrittivi deve prevedere un sistema di approvvigionamento energetico (elettrico e termico) in grado di coprire in parte o in toto il fabbisogno, attraverso almeno uno dei seguenti interventi: la realizzazione di centrali di cogenerazione o </w:t>
            </w:r>
            <w:proofErr w:type="spellStart"/>
            <w:r w:rsidRPr="00FF6F51">
              <w:rPr>
                <w:rFonts w:ascii="Titillium" w:hAnsi="Titillium"/>
                <w:color w:val="auto"/>
                <w:sz w:val="20"/>
                <w:szCs w:val="20"/>
              </w:rPr>
              <w:t>trigenerazione</w:t>
            </w:r>
            <w:proofErr w:type="spellEnd"/>
            <w:r w:rsidRPr="00FF6F51">
              <w:rPr>
                <w:rFonts w:ascii="Titillium" w:hAnsi="Titillium"/>
                <w:color w:val="auto"/>
                <w:sz w:val="20"/>
                <w:szCs w:val="20"/>
              </w:rPr>
              <w:t xml:space="preserve">; l’installazione di parchi fotovoltaici o eolici; l’istallazione di collettori solari termici per il riscaldamento di acqua sanitaria; l’installazione di impianti geotermici a bassa entalpia; </w:t>
            </w:r>
            <w:r w:rsidRPr="00FF6F51">
              <w:rPr>
                <w:rFonts w:ascii="Titillium" w:hAnsi="Titillium"/>
                <w:color w:val="auto"/>
                <w:sz w:val="20"/>
                <w:szCs w:val="20"/>
              </w:rPr>
              <w:lastRenderedPageBreak/>
              <w:t xml:space="preserve">l’installazione di sistemi a pompa di calore; l’installazione di impianti a biomassa. La quota di copertura attraverso fonti rinnovabili del fabbisogno energetico del complesso dei fabbricati non può essere inferiore alla somma delle quote specifiche dei singoli edifici, così come incrementate in conformità a quanto previsto dal successivo criterio 13. </w:t>
            </w:r>
          </w:p>
        </w:tc>
        <w:tc>
          <w:tcPr>
            <w:tcW w:w="535" w:type="pct"/>
          </w:tcPr>
          <w:p w14:paraId="465C64E5" w14:textId="77777777" w:rsidR="005B16FE" w:rsidRPr="00FF6F51" w:rsidRDefault="005B16FE" w:rsidP="00DC0018">
            <w:pPr>
              <w:pStyle w:val="Default"/>
              <w:rPr>
                <w:rFonts w:ascii="Titillium" w:hAnsi="Titillium"/>
                <w:b/>
                <w:bCs/>
                <w:i/>
                <w:iCs/>
                <w:color w:val="auto"/>
                <w:sz w:val="20"/>
                <w:szCs w:val="20"/>
              </w:rPr>
            </w:pPr>
          </w:p>
        </w:tc>
        <w:tc>
          <w:tcPr>
            <w:tcW w:w="1538" w:type="pct"/>
          </w:tcPr>
          <w:p w14:paraId="61978759" w14:textId="77777777" w:rsidR="005B16FE" w:rsidRPr="00FF6F51" w:rsidRDefault="005B16FE" w:rsidP="00DC0018">
            <w:pPr>
              <w:pStyle w:val="Default"/>
              <w:rPr>
                <w:rFonts w:ascii="Titillium" w:hAnsi="Titillium"/>
                <w:b/>
                <w:bCs/>
                <w:i/>
                <w:iCs/>
                <w:color w:val="auto"/>
                <w:sz w:val="20"/>
                <w:szCs w:val="20"/>
              </w:rPr>
            </w:pPr>
          </w:p>
        </w:tc>
      </w:tr>
      <w:tr w:rsidR="005B16FE" w:rsidRPr="00FF6F51" w14:paraId="735D0B86" w14:textId="77777777" w:rsidTr="00443306">
        <w:trPr>
          <w:trHeight w:val="274"/>
        </w:trPr>
        <w:tc>
          <w:tcPr>
            <w:tcW w:w="385" w:type="pct"/>
            <w:vAlign w:val="center"/>
          </w:tcPr>
          <w:p w14:paraId="0E101C06" w14:textId="77777777" w:rsidR="005B16FE" w:rsidRPr="00FF6F51" w:rsidRDefault="005B16FE" w:rsidP="00DC0018">
            <w:pPr>
              <w:pStyle w:val="Default"/>
              <w:jc w:val="center"/>
              <w:rPr>
                <w:rFonts w:ascii="Titillium" w:hAnsi="Titillium"/>
                <w:color w:val="auto"/>
                <w:sz w:val="20"/>
                <w:szCs w:val="20"/>
              </w:rPr>
            </w:pPr>
            <w:r w:rsidRPr="00FF6F51">
              <w:rPr>
                <w:rFonts w:ascii="Titillium" w:hAnsi="Titillium"/>
                <w:color w:val="auto"/>
                <w:sz w:val="20"/>
                <w:szCs w:val="20"/>
              </w:rPr>
              <w:t>6</w:t>
            </w:r>
          </w:p>
        </w:tc>
        <w:tc>
          <w:tcPr>
            <w:tcW w:w="2542" w:type="pct"/>
            <w:vAlign w:val="center"/>
          </w:tcPr>
          <w:p w14:paraId="1B0FBD44" w14:textId="77777777" w:rsidR="005B16FE" w:rsidRPr="00FF6F51" w:rsidRDefault="005B16FE" w:rsidP="00DC0018">
            <w:pPr>
              <w:pStyle w:val="Default"/>
              <w:rPr>
                <w:rFonts w:ascii="Titillium" w:hAnsi="Titillium"/>
                <w:color w:val="auto"/>
                <w:sz w:val="20"/>
                <w:szCs w:val="20"/>
              </w:rPr>
            </w:pPr>
            <w:r w:rsidRPr="00FF6F51">
              <w:rPr>
                <w:rFonts w:ascii="Titillium" w:hAnsi="Titillium"/>
                <w:b/>
                <w:bCs/>
                <w:i/>
                <w:iCs/>
                <w:color w:val="auto"/>
                <w:sz w:val="20"/>
                <w:szCs w:val="20"/>
              </w:rPr>
              <w:t>Riduzione dell’impatto sul microclima e dell’inquinamento atmosferico</w:t>
            </w:r>
            <w:r w:rsidRPr="00FF6F51">
              <w:rPr>
                <w:rFonts w:ascii="Titillium" w:hAnsi="Titillium"/>
                <w:color w:val="auto"/>
                <w:sz w:val="20"/>
                <w:szCs w:val="20"/>
              </w:rPr>
              <w:t xml:space="preserve"> - Il progetto di nuovi edifici o gli interventi di ristrutturazione di edifici esistenti, ferme restando le norme e i regolamenti più restrittivi, deve prevedere la realizzazione di una superficie a verde ad elevata biomassa che garantisca un adeguato assorbimento delle emissioni inquinanti in atmosfera e favorisca una sufficiente evapotraspirazione, al fine di garantire un adeguato microclima. Per le aree di nuova piantumazione devono essere utilizzate specie arboree ed arbustive autoctone che abbiano ridotte esigenze idriche, resistenza alle fitopatologie e privilegiando specie con strategie riproduttive prevalentemente entomofile. Deve essere predisposto un piano di gestione e irrigazione delle aree verdi. La previsione tiene conto della capacità di assorbimento della CO2 da parte di un ettaro di bosco, come nella tabella riportata al punto 2.2.6 del CAM Edilizia (</w:t>
            </w:r>
            <w:hyperlink r:id="rId11" w:history="1">
              <w:r w:rsidRPr="00FF6F51">
                <w:rPr>
                  <w:rStyle w:val="Collegamentoipertestuale"/>
                  <w:rFonts w:ascii="Titillium" w:hAnsi="Titillium"/>
                </w:rPr>
                <w:t>GU 259 CAMedilizia.pdf (mite.gov.it)</w:t>
              </w:r>
            </w:hyperlink>
            <w:r w:rsidRPr="00FF6F51">
              <w:rPr>
                <w:rFonts w:ascii="Titillium" w:hAnsi="Titillium"/>
              </w:rPr>
              <w:t xml:space="preserve">) </w:t>
            </w:r>
          </w:p>
          <w:p w14:paraId="45DC9E30" w14:textId="77777777" w:rsidR="005B16FE" w:rsidRPr="00FF6F51" w:rsidRDefault="005B16FE" w:rsidP="00DC0018">
            <w:pPr>
              <w:pStyle w:val="Default"/>
              <w:rPr>
                <w:rFonts w:ascii="Titillium" w:hAnsi="Titillium"/>
                <w:color w:val="auto"/>
                <w:sz w:val="20"/>
                <w:szCs w:val="20"/>
              </w:rPr>
            </w:pPr>
            <w:r w:rsidRPr="00FF6F51">
              <w:rPr>
                <w:rFonts w:ascii="Titillium" w:hAnsi="Titillium"/>
                <w:color w:val="auto"/>
                <w:sz w:val="20"/>
                <w:szCs w:val="20"/>
              </w:rPr>
              <w:t>Per le superfici esterne pavimentate ad uso pedonale o ciclabile deve essere previsto l’uso di materiali permeabili ed un indice SRI di almeno 29. Il medesimo obbligo si applica, ferme restando le norme e i regolamenti più restrittivi anche alle strade carrabili e ai parcheggi negli ambiti di protezione ambientale e pertinenziali a bassa intensità di traffico. Per le coperture deve essere privilegiato l’impiego di tetti verdi; in caso di coperture non verdi, i materiali impiegati devono garantire un indice SRI di almeno 29, nei casi di pendenza maggiore del 15%, e di almeno 76, per le coperture con pendenza minore o uguale al 15%.</w:t>
            </w:r>
          </w:p>
        </w:tc>
        <w:tc>
          <w:tcPr>
            <w:tcW w:w="535" w:type="pct"/>
          </w:tcPr>
          <w:p w14:paraId="3BAD7207" w14:textId="77777777" w:rsidR="005B16FE" w:rsidRPr="00FF6F51" w:rsidRDefault="005B16FE" w:rsidP="00DC0018">
            <w:pPr>
              <w:pStyle w:val="Default"/>
              <w:rPr>
                <w:rFonts w:ascii="Titillium" w:hAnsi="Titillium"/>
                <w:b/>
                <w:bCs/>
                <w:i/>
                <w:iCs/>
                <w:color w:val="auto"/>
                <w:sz w:val="20"/>
                <w:szCs w:val="20"/>
              </w:rPr>
            </w:pPr>
          </w:p>
        </w:tc>
        <w:tc>
          <w:tcPr>
            <w:tcW w:w="1538" w:type="pct"/>
          </w:tcPr>
          <w:p w14:paraId="07FC412D" w14:textId="77777777" w:rsidR="005B16FE" w:rsidRPr="00FF6F51" w:rsidRDefault="005B16FE" w:rsidP="00DC0018">
            <w:pPr>
              <w:pStyle w:val="Default"/>
              <w:rPr>
                <w:rFonts w:ascii="Titillium" w:hAnsi="Titillium"/>
                <w:b/>
                <w:bCs/>
                <w:i/>
                <w:iCs/>
                <w:color w:val="auto"/>
                <w:sz w:val="20"/>
                <w:szCs w:val="20"/>
              </w:rPr>
            </w:pPr>
          </w:p>
        </w:tc>
      </w:tr>
      <w:tr w:rsidR="005B16FE" w:rsidRPr="00FF6F51" w14:paraId="3CD4C2DE" w14:textId="77777777" w:rsidTr="00443306">
        <w:trPr>
          <w:trHeight w:val="274"/>
        </w:trPr>
        <w:tc>
          <w:tcPr>
            <w:tcW w:w="385" w:type="pct"/>
            <w:vAlign w:val="center"/>
          </w:tcPr>
          <w:p w14:paraId="53900C03" w14:textId="77777777" w:rsidR="005B16FE" w:rsidRPr="00FF6F51" w:rsidRDefault="005B16FE" w:rsidP="00DC0018">
            <w:pPr>
              <w:pStyle w:val="Default"/>
              <w:jc w:val="center"/>
              <w:rPr>
                <w:rFonts w:ascii="Titillium" w:hAnsi="Titillium"/>
                <w:color w:val="auto"/>
                <w:sz w:val="20"/>
                <w:szCs w:val="20"/>
              </w:rPr>
            </w:pPr>
            <w:r w:rsidRPr="00FF6F51">
              <w:rPr>
                <w:rFonts w:ascii="Titillium" w:hAnsi="Titillium"/>
                <w:color w:val="auto"/>
                <w:sz w:val="20"/>
                <w:szCs w:val="20"/>
              </w:rPr>
              <w:t>7</w:t>
            </w:r>
          </w:p>
        </w:tc>
        <w:tc>
          <w:tcPr>
            <w:tcW w:w="2542" w:type="pct"/>
            <w:vAlign w:val="center"/>
          </w:tcPr>
          <w:p w14:paraId="5829C480" w14:textId="77777777" w:rsidR="005B16FE" w:rsidRPr="00FF6F51" w:rsidRDefault="005B16FE" w:rsidP="00DC0018">
            <w:pPr>
              <w:pStyle w:val="Default"/>
              <w:rPr>
                <w:rFonts w:ascii="Titillium" w:hAnsi="Titillium"/>
                <w:color w:val="auto"/>
                <w:sz w:val="20"/>
                <w:szCs w:val="20"/>
              </w:rPr>
            </w:pPr>
            <w:r w:rsidRPr="00FF6F51">
              <w:rPr>
                <w:rFonts w:ascii="Titillium" w:hAnsi="Titillium"/>
                <w:b/>
                <w:bCs/>
                <w:i/>
                <w:iCs/>
                <w:color w:val="auto"/>
                <w:sz w:val="20"/>
                <w:szCs w:val="20"/>
              </w:rPr>
              <w:t>Riduzione dell’impatto sul sistema idrografico superficiale e sotterraneo</w:t>
            </w:r>
            <w:r w:rsidRPr="00FF6F51">
              <w:rPr>
                <w:rFonts w:ascii="Titillium" w:hAnsi="Titillium"/>
                <w:color w:val="auto"/>
                <w:sz w:val="20"/>
                <w:szCs w:val="20"/>
              </w:rPr>
              <w:t xml:space="preserve"> - Il progetto di nuovi edifici, ferme restando le norme e i regolamenti più restrittivi, deve garantire le seguenti prestazioni e prevedere gli interventi idonei per conseguirle: conservazione e/o ripristino della naturalità degli ecosistemi fluviali per tutta la fascia ripariale esistente anche se non iscritti negli elenchi delle acque pubbliche provinciali; mantenimento di condizioni di naturalità degli alvei e della loro fascia ripariale escludendo qualsiasi intervento di immissioni di reflui non depurati; manutenzione (ordinaria e straordinaria) consistente in interventi di rimozione di rifiuti e </w:t>
            </w:r>
            <w:r w:rsidRPr="00FF6F51">
              <w:rPr>
                <w:rFonts w:ascii="Titillium" w:hAnsi="Titillium"/>
                <w:color w:val="auto"/>
                <w:sz w:val="20"/>
                <w:szCs w:val="20"/>
              </w:rPr>
              <w:lastRenderedPageBreak/>
              <w:t>di materiale legnoso depositatosi nell’alveo e lungo i fossi. I lavori di ripulitura e manutenzione devono essere attuati senza arrecare danno alla vegetazione ed alla eventuale fauna. I rifiuti rimossi dovranno essere separati, trasportati ai centri per la raccolta differenziata (isole ecologiche) e depositati negli appositi contenitori, oppure inviati direttamente al centro di recupero più vicino. Qualora il materiale legnoso non possa essere reimpiegato in loco, esso verrà trasportato all’impianto di compostaggio più vicino; previsione e realizzazione di impianti di depurazione delle acque di prima pioggia da superfici scolanti soggette a inquinamento, ad esempio aree dove vengono svolte operazioni di carico, scarico o deposito di rifiuti pericolosi. In questo caso le superfici dovranno essere impermeabilizzate al fine di impedire lo scolamento delle acque di prima pioggia sul suolo; interventi atti a garantire un corretto deflusso delle acque superficiali dalle superfici impermeabilizzate anche in occasione di eventi meteorologici eccezionali e, nel caso in cui le acque dilavate siano potenzialmente inquinate, devono essere adottati sistemi di depurazione, anche di tipo naturale; previsione e realizzazione di interventi in grado di prevenire e/o impedire fenomeni di erosione, compattazione, smottamento o alluvione ed in particolare: quelli necessari a garantire un corretto deflusso delle acque superficiali sulle aree verdi come le canalette di scolo, interventi da realizzarsi secondo le tecniche dell’ingegneria naturalistica ed impiegando materiali naturali (canalette in terra, canalette in legname e pietrame, etc.); le acque raccolte in questo sistema di canalizzazioni deve essere convogliato al più vicino corso d’acqua o impluvio naturale. Qualora si rendessero necessari interventi di messa in sicurezza idraulica, di stabilizzazione dei versanti o altri interventi finalizzati al consolidamento di sponde e versanti lungo i fossi, sono ammessi esclusivamente interventi di ingegneria naturalistica secondo la manualistica adottata dalla Regione; per quanto riguarda le acque sotterranee, il progetto deve prevedere azioni in grado di prevenire sversamenti di inquinanti sul suolo e nel sottosuolo. La tutela è realizzata attraverso azioni di controllo degli sversamenti sul suolo e attraverso la captazione a livello di rete di smaltimento delle eventuali acque inquinate e attraverso la loro depurazione. La progettazione deve garantire la prevenzione di sversamenti anche accidentali di inquinanti sul suolo e nelle acque sotterranee.</w:t>
            </w:r>
          </w:p>
        </w:tc>
        <w:tc>
          <w:tcPr>
            <w:tcW w:w="535" w:type="pct"/>
          </w:tcPr>
          <w:p w14:paraId="5564548A" w14:textId="77777777" w:rsidR="005B16FE" w:rsidRPr="00FF6F51" w:rsidRDefault="005B16FE" w:rsidP="00DC0018">
            <w:pPr>
              <w:pStyle w:val="Default"/>
              <w:rPr>
                <w:rFonts w:ascii="Titillium" w:hAnsi="Titillium"/>
                <w:b/>
                <w:bCs/>
                <w:i/>
                <w:iCs/>
                <w:color w:val="auto"/>
                <w:sz w:val="20"/>
                <w:szCs w:val="20"/>
              </w:rPr>
            </w:pPr>
          </w:p>
        </w:tc>
        <w:tc>
          <w:tcPr>
            <w:tcW w:w="1538" w:type="pct"/>
          </w:tcPr>
          <w:p w14:paraId="050C1D82" w14:textId="77777777" w:rsidR="005B16FE" w:rsidRPr="00FF6F51" w:rsidRDefault="005B16FE" w:rsidP="00DC0018">
            <w:pPr>
              <w:pStyle w:val="Default"/>
              <w:rPr>
                <w:rFonts w:ascii="Titillium" w:hAnsi="Titillium"/>
                <w:b/>
                <w:bCs/>
                <w:i/>
                <w:iCs/>
                <w:color w:val="auto"/>
                <w:sz w:val="20"/>
                <w:szCs w:val="20"/>
              </w:rPr>
            </w:pPr>
          </w:p>
        </w:tc>
      </w:tr>
      <w:tr w:rsidR="005B16FE" w:rsidRPr="00FF6F51" w14:paraId="1782B3B2" w14:textId="77777777" w:rsidTr="00443306">
        <w:trPr>
          <w:trHeight w:val="274"/>
        </w:trPr>
        <w:tc>
          <w:tcPr>
            <w:tcW w:w="385" w:type="pct"/>
            <w:vAlign w:val="center"/>
          </w:tcPr>
          <w:p w14:paraId="494492CB" w14:textId="77777777" w:rsidR="005B16FE" w:rsidRPr="00FF6F51" w:rsidRDefault="005B16FE" w:rsidP="00DC0018">
            <w:pPr>
              <w:pStyle w:val="Default"/>
              <w:jc w:val="center"/>
              <w:rPr>
                <w:rFonts w:ascii="Titillium" w:hAnsi="Titillium"/>
                <w:color w:val="auto"/>
                <w:sz w:val="20"/>
                <w:szCs w:val="20"/>
              </w:rPr>
            </w:pPr>
            <w:r w:rsidRPr="00FF6F51">
              <w:rPr>
                <w:rFonts w:ascii="Titillium" w:hAnsi="Titillium"/>
                <w:color w:val="auto"/>
                <w:sz w:val="20"/>
                <w:szCs w:val="20"/>
              </w:rPr>
              <w:t>8</w:t>
            </w:r>
          </w:p>
        </w:tc>
        <w:tc>
          <w:tcPr>
            <w:tcW w:w="2542" w:type="pct"/>
            <w:vAlign w:val="center"/>
          </w:tcPr>
          <w:p w14:paraId="66C04EE9" w14:textId="77777777" w:rsidR="005B16FE" w:rsidRPr="00FF6F51" w:rsidRDefault="005B16FE" w:rsidP="00DC0018">
            <w:pPr>
              <w:pStyle w:val="Default"/>
              <w:rPr>
                <w:rFonts w:ascii="Titillium" w:hAnsi="Titillium"/>
                <w:color w:val="auto"/>
                <w:sz w:val="20"/>
                <w:szCs w:val="20"/>
              </w:rPr>
            </w:pPr>
            <w:r w:rsidRPr="00FF6F51">
              <w:rPr>
                <w:rFonts w:ascii="Titillium" w:hAnsi="Titillium"/>
                <w:b/>
                <w:bCs/>
                <w:i/>
                <w:iCs/>
                <w:color w:val="auto"/>
                <w:sz w:val="20"/>
                <w:szCs w:val="20"/>
              </w:rPr>
              <w:t xml:space="preserve">Infrastrutturazione primaria </w:t>
            </w:r>
            <w:r w:rsidRPr="00FF6F51">
              <w:rPr>
                <w:rFonts w:ascii="Titillium" w:hAnsi="Titillium"/>
                <w:color w:val="auto"/>
                <w:sz w:val="20"/>
                <w:szCs w:val="20"/>
              </w:rPr>
              <w:t>– Il progetto di nuovi edifici, ferme restando le norme e i regolamenti più restrittivi, deve prevedere i seguenti interventi:</w:t>
            </w:r>
          </w:p>
          <w:p w14:paraId="7AA02053" w14:textId="77777777" w:rsidR="005B16FE" w:rsidRPr="00FF6F51" w:rsidRDefault="005B16FE" w:rsidP="00DC0018">
            <w:pPr>
              <w:pStyle w:val="Default"/>
              <w:numPr>
                <w:ilvl w:val="0"/>
                <w:numId w:val="11"/>
              </w:numPr>
              <w:rPr>
                <w:rFonts w:ascii="Titillium" w:hAnsi="Titillium"/>
                <w:color w:val="auto"/>
                <w:sz w:val="20"/>
                <w:szCs w:val="20"/>
              </w:rPr>
            </w:pPr>
            <w:r w:rsidRPr="00FF6F51">
              <w:rPr>
                <w:rFonts w:ascii="Titillium" w:hAnsi="Titillium"/>
                <w:color w:val="auto"/>
                <w:sz w:val="20"/>
                <w:szCs w:val="20"/>
              </w:rPr>
              <w:lastRenderedPageBreak/>
              <w:t>Viabilità: Ogni qualvolta si intervenga con la sostituzione di una pavimentazione e non sia praticabile l’impiego di superfici a verde, si devono impiegare pavimentazioni di tipo «freddo», scelte tra prato armato, laterizio, pietra chiara, acciottolato, ghiaia, legno, calcare e optare per gli autobloccanti permeabili. Le zone destinate a parcheggio o allo stazionamento dei veicoli devono essere ombreggiate attenendosi alle seguenti prescrizioni: almeno il 10% dell’area lorda del parcheggio sia costituita da copertura verde con alberatura idonea per tale tipo di aree; il perimetro dell’area sia delimitato da una cintura di verde di altezza non inferiore a 1 metro e di opacità superiore al 75%; le eventuali coperture devono essere realizzate con pensiline fotovoltaiche a servizio dell’impianto di illuminazione del parcheggio; devono essere presenti spazi per moto, ciclomotori e rastrelliere per biciclette, rapportati al numero di addetti/utenti/potenziali abitanti del quartiere.</w:t>
            </w:r>
          </w:p>
          <w:p w14:paraId="6C050EA1" w14:textId="77777777" w:rsidR="005B16FE" w:rsidRPr="00FF6F51" w:rsidRDefault="005B16FE" w:rsidP="00DC0018">
            <w:pPr>
              <w:pStyle w:val="Default"/>
              <w:numPr>
                <w:ilvl w:val="0"/>
                <w:numId w:val="11"/>
              </w:numPr>
              <w:rPr>
                <w:rFonts w:ascii="Titillium" w:hAnsi="Titillium"/>
                <w:color w:val="auto"/>
                <w:sz w:val="20"/>
                <w:szCs w:val="20"/>
              </w:rPr>
            </w:pPr>
            <w:r w:rsidRPr="00FF6F51">
              <w:rPr>
                <w:rFonts w:ascii="Titillium" w:hAnsi="Titillium"/>
                <w:color w:val="auto"/>
                <w:sz w:val="20"/>
                <w:szCs w:val="20"/>
              </w:rPr>
              <w:t>Raccolta, depurazione e riuso delle acque meteoriche: Deve essere prevista la realizzazione di una rete separata per la raccolta delle acque meteoriche. Le acque provenienti da superfici scolanti non soggette a inquinamento devono essere convogliate direttamente nella rete delle acque meteoriche e poi in vasche di raccolta per essere riutilizzate a scopo irriguo o per alimentare le cassette di accumulo dei servizi igienici. Le acque provenienti da superfici scolanti soggette a inquinamento devono essere preventivamente convogliate in sistemi di depurazione e disoleazione, anche di tipo naturale, prima di essere immesse nella rete delle acque meteoriche. Il progetto deve essere redatto sulla base della normativa di settore UNI/TS 11445 «Impianti per la raccolta e utilizzo dell’acqua piovana per usi diversi dal consumo umano - Progettazione, installazione e manutenzione» e la norma UNI EN 805 «Approvvigionamento di acqua - Requisiti per sistemi e componenti all’esterno di edifici» o norme</w:t>
            </w:r>
          </w:p>
          <w:p w14:paraId="190F27B5" w14:textId="77777777" w:rsidR="005B16FE" w:rsidRPr="00FF6F51" w:rsidRDefault="005B16FE" w:rsidP="00DC0018">
            <w:pPr>
              <w:pStyle w:val="Default"/>
              <w:numPr>
                <w:ilvl w:val="0"/>
                <w:numId w:val="11"/>
              </w:numPr>
              <w:rPr>
                <w:rFonts w:ascii="Titillium" w:hAnsi="Titillium"/>
                <w:color w:val="auto"/>
                <w:sz w:val="20"/>
                <w:szCs w:val="20"/>
              </w:rPr>
            </w:pPr>
            <w:r w:rsidRPr="00FF6F51">
              <w:rPr>
                <w:rFonts w:ascii="Titillium" w:hAnsi="Titillium"/>
                <w:color w:val="auto"/>
                <w:sz w:val="20"/>
                <w:szCs w:val="20"/>
              </w:rPr>
              <w:t xml:space="preserve">Rete di irrigazione delle aree a verde pubblico: Per l’irrigazione del verde pubblico deve essere previsto un impianto di irrigazione automatico a goccia (con acqua proveniente dalle vasche di raccolta delle acque meteoriche), alimentato da fonti energetiche </w:t>
            </w:r>
            <w:r w:rsidRPr="00FF6F51">
              <w:rPr>
                <w:rFonts w:ascii="Titillium" w:hAnsi="Titillium"/>
                <w:color w:val="auto"/>
                <w:sz w:val="20"/>
                <w:szCs w:val="20"/>
              </w:rPr>
              <w:lastRenderedPageBreak/>
              <w:t>rinnovabili. Il progetto deve essere redatto sulla base della normativa di settore UNI/TS 11445 «Impianti per la raccolta e utilizzo dell’acqua piovana per usi diversi dal consumo umano - Progettazione, installazione e manutenzione» o norma equivalente.</w:t>
            </w:r>
          </w:p>
          <w:p w14:paraId="75730FE9" w14:textId="77777777" w:rsidR="005B16FE" w:rsidRPr="00FF6F51" w:rsidRDefault="005B16FE" w:rsidP="00DC0018">
            <w:pPr>
              <w:pStyle w:val="Default"/>
              <w:numPr>
                <w:ilvl w:val="0"/>
                <w:numId w:val="11"/>
              </w:numPr>
              <w:rPr>
                <w:rFonts w:ascii="Titillium" w:hAnsi="Titillium"/>
                <w:color w:val="auto"/>
                <w:sz w:val="20"/>
                <w:szCs w:val="20"/>
              </w:rPr>
            </w:pPr>
            <w:r w:rsidRPr="00FF6F51">
              <w:rPr>
                <w:rFonts w:ascii="Titillium" w:hAnsi="Titillium"/>
                <w:color w:val="auto"/>
                <w:sz w:val="20"/>
                <w:szCs w:val="20"/>
              </w:rPr>
              <w:t xml:space="preserve">Area di raccolta e stoccaggio materiali e rifiuti: Devono essere previste apposite aree che possono essere destinate alla raccolta differenziata locale dei rifiuti provenienti da residenze, uffici, commercio, </w:t>
            </w:r>
            <w:proofErr w:type="gramStart"/>
            <w:r w:rsidRPr="00FF6F51">
              <w:rPr>
                <w:rFonts w:ascii="Titillium" w:hAnsi="Titillium"/>
                <w:color w:val="auto"/>
                <w:sz w:val="20"/>
                <w:szCs w:val="20"/>
              </w:rPr>
              <w:t>etc. quali carta</w:t>
            </w:r>
            <w:proofErr w:type="gramEnd"/>
            <w:r w:rsidRPr="00FF6F51">
              <w:rPr>
                <w:rFonts w:ascii="Titillium" w:hAnsi="Titillium"/>
                <w:color w:val="auto"/>
                <w:sz w:val="20"/>
                <w:szCs w:val="20"/>
              </w:rPr>
              <w:t>, cartone, vetro, alluminio, acciaio, plastica, tessile/pelle/cuoio, gomma, umido, RAEE, coerentemente con i regolamenti comunali di gestione dei rifiuti</w:t>
            </w:r>
          </w:p>
          <w:p w14:paraId="5A365095" w14:textId="77777777" w:rsidR="005B16FE" w:rsidRPr="00FF6F51" w:rsidRDefault="005B16FE" w:rsidP="00DC0018">
            <w:pPr>
              <w:pStyle w:val="Default"/>
              <w:numPr>
                <w:ilvl w:val="0"/>
                <w:numId w:val="11"/>
              </w:numPr>
              <w:rPr>
                <w:rFonts w:ascii="Titillium" w:hAnsi="Titillium"/>
                <w:color w:val="auto"/>
                <w:sz w:val="20"/>
                <w:szCs w:val="20"/>
              </w:rPr>
            </w:pPr>
            <w:r w:rsidRPr="00FF6F51">
              <w:rPr>
                <w:rFonts w:ascii="Titillium" w:hAnsi="Titillium"/>
                <w:color w:val="auto"/>
                <w:sz w:val="20"/>
                <w:szCs w:val="20"/>
              </w:rPr>
              <w:t xml:space="preserve">Impianto di illuminazione pubblica: I criteri di progettazione degli impianti devono rispondere a quelli contenuti nel documento di CAM “Illuminazione” emanati con decreto ministeriale 23 dicembre 2013 (Supplemento ordinario nella Gazzetta Ufficiale n. 18 del 23 gennaio 2014) e </w:t>
            </w:r>
            <w:proofErr w:type="spellStart"/>
            <w:r w:rsidRPr="00FF6F51">
              <w:rPr>
                <w:rFonts w:ascii="Titillium" w:hAnsi="Titillium"/>
                <w:color w:val="auto"/>
                <w:sz w:val="20"/>
                <w:szCs w:val="20"/>
              </w:rPr>
              <w:t>s.m.i</w:t>
            </w:r>
            <w:proofErr w:type="spellEnd"/>
          </w:p>
          <w:p w14:paraId="70BE568B" w14:textId="77777777" w:rsidR="005B16FE" w:rsidRPr="00FF6F51" w:rsidRDefault="005B16FE" w:rsidP="00DC0018">
            <w:pPr>
              <w:pStyle w:val="Default"/>
              <w:numPr>
                <w:ilvl w:val="0"/>
                <w:numId w:val="11"/>
              </w:numPr>
              <w:rPr>
                <w:rFonts w:ascii="Titillium" w:hAnsi="Titillium"/>
                <w:color w:val="auto"/>
                <w:sz w:val="20"/>
                <w:szCs w:val="20"/>
              </w:rPr>
            </w:pPr>
            <w:r w:rsidRPr="00FF6F51">
              <w:rPr>
                <w:rFonts w:ascii="Titillium" w:hAnsi="Titillium"/>
                <w:color w:val="auto"/>
                <w:sz w:val="20"/>
                <w:szCs w:val="20"/>
              </w:rPr>
              <w:t>Sottoservizi/canalizzazioni per infrastrutture tecnologiche: Realizzazione di canalizzazioni in cui collocare tutte le reti tecnologiche previste, per una corretta gestione dello spazio nel sottosuolo (vantaggi nella gestione e nella manutenzione delle reti), prevedendo anche una sezione maggiore da destinare a futuri ampliamenti delle reti</w:t>
            </w:r>
          </w:p>
        </w:tc>
        <w:tc>
          <w:tcPr>
            <w:tcW w:w="535" w:type="pct"/>
          </w:tcPr>
          <w:p w14:paraId="510AFA59" w14:textId="77777777" w:rsidR="005B16FE" w:rsidRPr="00FF6F51" w:rsidRDefault="005B16FE" w:rsidP="00DC0018">
            <w:pPr>
              <w:pStyle w:val="Default"/>
              <w:rPr>
                <w:rFonts w:ascii="Titillium" w:hAnsi="Titillium"/>
                <w:b/>
                <w:bCs/>
                <w:i/>
                <w:iCs/>
                <w:color w:val="auto"/>
                <w:sz w:val="20"/>
                <w:szCs w:val="20"/>
              </w:rPr>
            </w:pPr>
          </w:p>
        </w:tc>
        <w:tc>
          <w:tcPr>
            <w:tcW w:w="1538" w:type="pct"/>
          </w:tcPr>
          <w:p w14:paraId="2D32F8E2" w14:textId="77777777" w:rsidR="005B16FE" w:rsidRPr="00FF6F51" w:rsidRDefault="005B16FE" w:rsidP="00DC0018">
            <w:pPr>
              <w:pStyle w:val="Default"/>
              <w:rPr>
                <w:rFonts w:ascii="Titillium" w:hAnsi="Titillium"/>
                <w:b/>
                <w:bCs/>
                <w:i/>
                <w:iCs/>
                <w:color w:val="auto"/>
                <w:sz w:val="20"/>
                <w:szCs w:val="20"/>
              </w:rPr>
            </w:pPr>
          </w:p>
        </w:tc>
      </w:tr>
      <w:tr w:rsidR="005B16FE" w:rsidRPr="00FF6F51" w14:paraId="1A60EB64" w14:textId="77777777" w:rsidTr="00443306">
        <w:trPr>
          <w:trHeight w:val="274"/>
        </w:trPr>
        <w:tc>
          <w:tcPr>
            <w:tcW w:w="385" w:type="pct"/>
            <w:vAlign w:val="center"/>
          </w:tcPr>
          <w:p w14:paraId="0C3472FB" w14:textId="77777777" w:rsidR="005B16FE" w:rsidRPr="00FF6F51" w:rsidRDefault="005B16FE" w:rsidP="00DC0018">
            <w:pPr>
              <w:pStyle w:val="Default"/>
              <w:jc w:val="center"/>
              <w:rPr>
                <w:rFonts w:ascii="Titillium" w:hAnsi="Titillium"/>
                <w:color w:val="auto"/>
                <w:sz w:val="20"/>
                <w:szCs w:val="20"/>
              </w:rPr>
            </w:pPr>
            <w:r w:rsidRPr="00FF6F51">
              <w:rPr>
                <w:rFonts w:ascii="Titillium" w:hAnsi="Titillium"/>
                <w:color w:val="auto"/>
                <w:sz w:val="20"/>
                <w:szCs w:val="20"/>
              </w:rPr>
              <w:lastRenderedPageBreak/>
              <w:t>9</w:t>
            </w:r>
          </w:p>
        </w:tc>
        <w:tc>
          <w:tcPr>
            <w:tcW w:w="2542" w:type="pct"/>
            <w:vAlign w:val="center"/>
          </w:tcPr>
          <w:p w14:paraId="532BCD51" w14:textId="77777777" w:rsidR="005B16FE" w:rsidRPr="00FF6F51" w:rsidRDefault="005B16FE" w:rsidP="00DC0018">
            <w:pPr>
              <w:pStyle w:val="Default"/>
              <w:rPr>
                <w:rFonts w:ascii="Titillium" w:hAnsi="Titillium"/>
                <w:color w:val="auto"/>
                <w:sz w:val="20"/>
                <w:szCs w:val="20"/>
              </w:rPr>
            </w:pPr>
            <w:r w:rsidRPr="00FF6F51">
              <w:rPr>
                <w:rFonts w:ascii="Titillium" w:hAnsi="Titillium"/>
                <w:b/>
                <w:bCs/>
                <w:i/>
                <w:iCs/>
                <w:color w:val="auto"/>
                <w:sz w:val="20"/>
                <w:szCs w:val="20"/>
              </w:rPr>
              <w:t>Infrastruttura secondaria e mobilità sostenibile</w:t>
            </w:r>
            <w:r w:rsidRPr="00FF6F51">
              <w:rPr>
                <w:rFonts w:ascii="Titillium" w:hAnsi="Titillium"/>
                <w:color w:val="auto"/>
                <w:sz w:val="20"/>
                <w:szCs w:val="20"/>
              </w:rPr>
              <w:t xml:space="preserve"> - Il progetto di un nuovo gruppo di edifici, ferme restando le norme e i regolamenti più restrittivi deve garantire le seguenti contestuali prestazioni e prevedere i seguenti interventi per garantire dette prestazioni: in base alle dimensioni del progetto, deve essere previsto un mix tra residenze, luoghi di lavoro e servizi tale da favorire l’</w:t>
            </w:r>
            <w:proofErr w:type="spellStart"/>
            <w:r w:rsidRPr="00FF6F51">
              <w:rPr>
                <w:rFonts w:ascii="Titillium" w:hAnsi="Titillium"/>
                <w:color w:val="auto"/>
                <w:sz w:val="20"/>
                <w:szCs w:val="20"/>
              </w:rPr>
              <w:t>autocontenimento</w:t>
            </w:r>
            <w:proofErr w:type="spellEnd"/>
            <w:r w:rsidRPr="00FF6F51">
              <w:rPr>
                <w:rFonts w:ascii="Titillium" w:hAnsi="Titillium"/>
                <w:color w:val="auto"/>
                <w:sz w:val="20"/>
                <w:szCs w:val="20"/>
              </w:rPr>
              <w:t xml:space="preserve"> degli spostamenti (espresso in % di spostamenti interni). in base alle dimensioni del progetto, alla tipologia di funzioni insediate e al numero di abitanti/utenti previsto, devono essere previsti servizi in numero adeguato tra i seguenti: realizzazione di servizi pubblici a meno di 500 metri dalle abitazioni, in caso di progetti di tipo residenziale; stazioni metropolitane a meno di 800 metri e/o ferroviarie a meno di 2.000 metri dal nuovo complesso (il servizio di trasporto deve assicurare il trasporto delle biciclette); nel caso in cui non siano disponibili stazioni a meno di 800 metri, servizi navette con frequenza e distribuzione delle corse negli orari di punta/ morbida commisurata ai reali scenari di utilizzo da parte degli utenti; rastrelliere per le biciclette in corrispondenza dei nodi </w:t>
            </w:r>
            <w:r w:rsidRPr="00FF6F51">
              <w:rPr>
                <w:rFonts w:ascii="Titillium" w:hAnsi="Titillium"/>
                <w:color w:val="auto"/>
                <w:sz w:val="20"/>
                <w:szCs w:val="20"/>
              </w:rPr>
              <w:lastRenderedPageBreak/>
              <w:t>di interscambio con il servizio di trasporto pubblico e dei maggiori luoghi di interesse; fermate del trasporto pubblico su gomma a meno di 500 metri dalle abitazioni; rete adeguata di percorsi ciclabili e pedonali protetti  e con adeguate sistemazioni arboree e/o arbustive utilizzabili anche per raggiungere le stazioni.</w:t>
            </w:r>
          </w:p>
        </w:tc>
        <w:tc>
          <w:tcPr>
            <w:tcW w:w="535" w:type="pct"/>
          </w:tcPr>
          <w:p w14:paraId="527076DD" w14:textId="77777777" w:rsidR="005B16FE" w:rsidRPr="00FF6F51" w:rsidRDefault="005B16FE" w:rsidP="00DC0018">
            <w:pPr>
              <w:pStyle w:val="Default"/>
              <w:rPr>
                <w:rFonts w:ascii="Titillium" w:hAnsi="Titillium"/>
                <w:b/>
                <w:bCs/>
                <w:i/>
                <w:iCs/>
                <w:color w:val="auto"/>
                <w:sz w:val="20"/>
                <w:szCs w:val="20"/>
              </w:rPr>
            </w:pPr>
          </w:p>
        </w:tc>
        <w:tc>
          <w:tcPr>
            <w:tcW w:w="1538" w:type="pct"/>
          </w:tcPr>
          <w:p w14:paraId="3F8CDF57" w14:textId="77777777" w:rsidR="005B16FE" w:rsidRPr="00FF6F51" w:rsidRDefault="005B16FE" w:rsidP="00DC0018">
            <w:pPr>
              <w:pStyle w:val="Default"/>
              <w:rPr>
                <w:rFonts w:ascii="Titillium" w:hAnsi="Titillium"/>
                <w:b/>
                <w:bCs/>
                <w:i/>
                <w:iCs/>
                <w:color w:val="auto"/>
                <w:sz w:val="20"/>
                <w:szCs w:val="20"/>
              </w:rPr>
            </w:pPr>
          </w:p>
        </w:tc>
      </w:tr>
      <w:tr w:rsidR="005B16FE" w:rsidRPr="00FF6F51" w14:paraId="3026445F" w14:textId="77777777" w:rsidTr="00443306">
        <w:trPr>
          <w:trHeight w:val="274"/>
        </w:trPr>
        <w:tc>
          <w:tcPr>
            <w:tcW w:w="385" w:type="pct"/>
            <w:vAlign w:val="center"/>
          </w:tcPr>
          <w:p w14:paraId="13332C8E" w14:textId="77777777" w:rsidR="005B16FE" w:rsidRPr="00FF6F51" w:rsidRDefault="005B16FE" w:rsidP="00DC0018">
            <w:pPr>
              <w:pStyle w:val="Default"/>
              <w:jc w:val="center"/>
              <w:rPr>
                <w:rFonts w:ascii="Titillium" w:hAnsi="Titillium"/>
                <w:color w:val="auto"/>
                <w:sz w:val="20"/>
                <w:szCs w:val="20"/>
              </w:rPr>
            </w:pPr>
            <w:r w:rsidRPr="00FF6F51">
              <w:rPr>
                <w:rFonts w:ascii="Titillium" w:hAnsi="Titillium"/>
                <w:color w:val="auto"/>
                <w:sz w:val="20"/>
                <w:szCs w:val="20"/>
              </w:rPr>
              <w:t>10</w:t>
            </w:r>
          </w:p>
        </w:tc>
        <w:tc>
          <w:tcPr>
            <w:tcW w:w="2542" w:type="pct"/>
            <w:vAlign w:val="center"/>
          </w:tcPr>
          <w:p w14:paraId="2D40F32B" w14:textId="77777777" w:rsidR="005B16FE" w:rsidRPr="00FF6F51" w:rsidRDefault="005B16FE" w:rsidP="00DC0018">
            <w:pPr>
              <w:pStyle w:val="Default"/>
              <w:rPr>
                <w:rFonts w:ascii="Titillium" w:hAnsi="Titillium"/>
                <w:color w:val="auto"/>
                <w:sz w:val="20"/>
                <w:szCs w:val="20"/>
              </w:rPr>
            </w:pPr>
            <w:r w:rsidRPr="00FF6F51">
              <w:rPr>
                <w:rFonts w:ascii="Titillium" w:hAnsi="Titillium"/>
                <w:b/>
                <w:bCs/>
                <w:i/>
                <w:iCs/>
                <w:color w:val="auto"/>
                <w:sz w:val="20"/>
                <w:szCs w:val="20"/>
              </w:rPr>
              <w:t>Rapporto sullo stato dell’ambiente</w:t>
            </w:r>
            <w:r w:rsidRPr="00FF6F51">
              <w:rPr>
                <w:rFonts w:ascii="Titillium" w:hAnsi="Titillium"/>
                <w:color w:val="auto"/>
                <w:sz w:val="20"/>
                <w:szCs w:val="20"/>
              </w:rPr>
              <w:t xml:space="preserve"> - Nel caso di progettazione di nuovi edifici o per gli interventi di ristrutturazione di edifici esistenti, il progettista deve produrre un Rapporto sullo stato dell’ambiente (chimico, fisico-biologico, vegetazionale compreso anche lo stato dell’ambiente fluviale se presente) completo dei dati di rilievo (anche fotografico) e del programma di interventi di miglioramento ambientale del sito di intervento. Il Rapporto sullo stato dell’ambiente è redatto da un professionista abilitato e iscritto in albi o registri professionali, in conformità con quanto previsto dalle leggi e dai regolamenti in vigore. Gli interventi di miglioramento ambientale sono obbligatori.</w:t>
            </w:r>
          </w:p>
        </w:tc>
        <w:tc>
          <w:tcPr>
            <w:tcW w:w="535" w:type="pct"/>
          </w:tcPr>
          <w:p w14:paraId="2FBD7936" w14:textId="77777777" w:rsidR="005B16FE" w:rsidRPr="00FF6F51" w:rsidRDefault="005B16FE" w:rsidP="00DC0018">
            <w:pPr>
              <w:pStyle w:val="Default"/>
              <w:rPr>
                <w:rFonts w:ascii="Titillium" w:hAnsi="Titillium"/>
                <w:b/>
                <w:bCs/>
                <w:i/>
                <w:iCs/>
                <w:color w:val="auto"/>
                <w:sz w:val="20"/>
                <w:szCs w:val="20"/>
              </w:rPr>
            </w:pPr>
          </w:p>
        </w:tc>
        <w:tc>
          <w:tcPr>
            <w:tcW w:w="1538" w:type="pct"/>
          </w:tcPr>
          <w:p w14:paraId="12DFD620" w14:textId="77777777" w:rsidR="005B16FE" w:rsidRPr="00FF6F51" w:rsidRDefault="005B16FE" w:rsidP="00DC0018">
            <w:pPr>
              <w:pStyle w:val="Default"/>
              <w:rPr>
                <w:rFonts w:ascii="Titillium" w:hAnsi="Titillium"/>
                <w:b/>
                <w:bCs/>
                <w:i/>
                <w:iCs/>
                <w:color w:val="auto"/>
                <w:sz w:val="20"/>
                <w:szCs w:val="20"/>
              </w:rPr>
            </w:pPr>
          </w:p>
        </w:tc>
      </w:tr>
      <w:tr w:rsidR="005B16FE" w:rsidRPr="00FF6F51" w14:paraId="755341B7" w14:textId="77777777" w:rsidTr="00443306">
        <w:trPr>
          <w:trHeight w:val="274"/>
        </w:trPr>
        <w:tc>
          <w:tcPr>
            <w:tcW w:w="2927" w:type="pct"/>
            <w:gridSpan w:val="2"/>
            <w:shd w:val="clear" w:color="auto" w:fill="D9E2F3"/>
            <w:vAlign w:val="center"/>
          </w:tcPr>
          <w:p w14:paraId="4719B393" w14:textId="77777777" w:rsidR="005B16FE" w:rsidRPr="00FF6F51" w:rsidRDefault="005B16FE" w:rsidP="00DC0018">
            <w:pPr>
              <w:pStyle w:val="Default"/>
              <w:jc w:val="center"/>
              <w:rPr>
                <w:rFonts w:ascii="Titillium" w:hAnsi="Titillium"/>
                <w:color w:val="auto"/>
                <w:sz w:val="20"/>
                <w:szCs w:val="20"/>
              </w:rPr>
            </w:pPr>
            <w:r w:rsidRPr="00FF6F51">
              <w:rPr>
                <w:rFonts w:ascii="Titillium" w:hAnsi="Titillium"/>
                <w:color w:val="auto"/>
                <w:sz w:val="20"/>
                <w:szCs w:val="20"/>
              </w:rPr>
              <w:t>Specifiche tecniche dell’edificio</w:t>
            </w:r>
          </w:p>
        </w:tc>
        <w:tc>
          <w:tcPr>
            <w:tcW w:w="535" w:type="pct"/>
            <w:shd w:val="clear" w:color="auto" w:fill="D9E2F3"/>
          </w:tcPr>
          <w:p w14:paraId="400AD7AF" w14:textId="77777777" w:rsidR="005B16FE" w:rsidRPr="00FF6F51" w:rsidRDefault="005B16FE" w:rsidP="00DC0018">
            <w:pPr>
              <w:pStyle w:val="Default"/>
              <w:jc w:val="center"/>
              <w:rPr>
                <w:rFonts w:ascii="Titillium" w:hAnsi="Titillium"/>
                <w:color w:val="auto"/>
                <w:sz w:val="20"/>
                <w:szCs w:val="20"/>
              </w:rPr>
            </w:pPr>
          </w:p>
        </w:tc>
        <w:tc>
          <w:tcPr>
            <w:tcW w:w="1538" w:type="pct"/>
            <w:shd w:val="clear" w:color="auto" w:fill="D9E2F3"/>
          </w:tcPr>
          <w:p w14:paraId="7B0120C6" w14:textId="77777777" w:rsidR="005B16FE" w:rsidRPr="00FF6F51" w:rsidRDefault="005B16FE" w:rsidP="00DC0018">
            <w:pPr>
              <w:pStyle w:val="Default"/>
              <w:jc w:val="center"/>
              <w:rPr>
                <w:rFonts w:ascii="Titillium" w:hAnsi="Titillium"/>
                <w:color w:val="auto"/>
                <w:sz w:val="20"/>
                <w:szCs w:val="20"/>
              </w:rPr>
            </w:pPr>
          </w:p>
        </w:tc>
      </w:tr>
      <w:tr w:rsidR="005B16FE" w:rsidRPr="00FF6F51" w14:paraId="3C4464B0" w14:textId="77777777" w:rsidTr="00443306">
        <w:trPr>
          <w:trHeight w:val="274"/>
        </w:trPr>
        <w:tc>
          <w:tcPr>
            <w:tcW w:w="385" w:type="pct"/>
            <w:vAlign w:val="center"/>
          </w:tcPr>
          <w:p w14:paraId="160CF801" w14:textId="77777777" w:rsidR="005B16FE" w:rsidRPr="00FF6F51" w:rsidRDefault="005B16FE" w:rsidP="00DC0018">
            <w:pPr>
              <w:pStyle w:val="Default"/>
              <w:jc w:val="center"/>
              <w:rPr>
                <w:rFonts w:ascii="Titillium" w:hAnsi="Titillium"/>
                <w:color w:val="auto"/>
                <w:sz w:val="20"/>
                <w:szCs w:val="20"/>
              </w:rPr>
            </w:pPr>
            <w:r w:rsidRPr="00FF6F51">
              <w:rPr>
                <w:rFonts w:ascii="Titillium" w:hAnsi="Titillium"/>
                <w:color w:val="auto"/>
                <w:sz w:val="20"/>
                <w:szCs w:val="20"/>
              </w:rPr>
              <w:t>11</w:t>
            </w:r>
          </w:p>
        </w:tc>
        <w:tc>
          <w:tcPr>
            <w:tcW w:w="2542" w:type="pct"/>
            <w:vAlign w:val="center"/>
          </w:tcPr>
          <w:p w14:paraId="0A92EED8" w14:textId="77777777" w:rsidR="005B16FE" w:rsidRPr="00FF6F51" w:rsidRDefault="005B16FE" w:rsidP="00DC0018">
            <w:pPr>
              <w:pStyle w:val="Default"/>
              <w:rPr>
                <w:rFonts w:ascii="Titillium" w:hAnsi="Titillium"/>
                <w:color w:val="auto"/>
                <w:sz w:val="20"/>
                <w:szCs w:val="20"/>
              </w:rPr>
            </w:pPr>
            <w:r w:rsidRPr="00FF6F51">
              <w:rPr>
                <w:rFonts w:ascii="Titillium" w:hAnsi="Titillium"/>
                <w:b/>
                <w:bCs/>
                <w:i/>
                <w:iCs/>
                <w:color w:val="auto"/>
                <w:sz w:val="20"/>
                <w:szCs w:val="20"/>
              </w:rPr>
              <w:t>Diagnosi energetica</w:t>
            </w:r>
            <w:r w:rsidRPr="00FF6F51">
              <w:rPr>
                <w:rFonts w:ascii="Titillium" w:hAnsi="Titillium"/>
                <w:color w:val="auto"/>
                <w:sz w:val="20"/>
                <w:szCs w:val="20"/>
              </w:rPr>
              <w:t xml:space="preserve"> - Per progetti di ristrutturazione importante di primo livello e per progetti di ristrutturazione importante di secondo livello di edifici con superficie utile di pavimento uguale o superiore a 2500 (duemilacinquecento) metri quadrati, deve essere condotta o acquisita (oltre all’APE ove richiesta dalle leggi vigenti) una diagnosi energetica per individuare la prestazione energetica dell’edificio e le azioni da intraprendere per la riduzione del fabbisogno energetico dell’edificio. Tale diagnosi dovrà includere la valutazione dei consumi effettivi dei singoli servizi energetici degli edifici oggetto di intervento ricavabili dalle bollette energetiche riferite ad almeno i tre anni precedenti o agli ultimi tre esercizi adeguatamente documentati. In caso di utilizzo dell’edificio da meno di tre anni o di indisponibilità di bollette dei tre anni precedenti o riferite agli ultimi tre esercizi, la diagnosi energetica può essere redatta sulla base di una stima dei consumi dalle bollette energetiche riferite all’ultimo anno (per il riscaldamento in base ai gradi giorno). Tali consumi devono essere normalizzati per tenere conto dell’andamento climatico dell’ultimo anno. In caso di inutilizzo della struttura per oltre </w:t>
            </w:r>
            <w:proofErr w:type="gramStart"/>
            <w:r w:rsidRPr="00FF6F51">
              <w:rPr>
                <w:rFonts w:ascii="Titillium" w:hAnsi="Titillium"/>
                <w:color w:val="auto"/>
                <w:sz w:val="20"/>
                <w:szCs w:val="20"/>
              </w:rPr>
              <w:t>5</w:t>
            </w:r>
            <w:proofErr w:type="gramEnd"/>
            <w:r w:rsidRPr="00FF6F51">
              <w:rPr>
                <w:rFonts w:ascii="Titillium" w:hAnsi="Titillium"/>
                <w:color w:val="auto"/>
                <w:sz w:val="20"/>
                <w:szCs w:val="20"/>
              </w:rPr>
              <w:t xml:space="preserve"> anni, la diagnosi energetica può essere redatta sulla base di una stima dei consumi. Per i progetti di ristrutturazione importante di secondo livello di edifici con superficie utile di pavimento inferiore a 2500 (duemilacinquecento) metri quadrati e per i progetti di riqualificazione energetica, gli interventi devono essere supportati da una valutazione costi/benefici e deve essere in </w:t>
            </w:r>
            <w:r w:rsidRPr="00FF6F51">
              <w:rPr>
                <w:rFonts w:ascii="Titillium" w:hAnsi="Titillium"/>
                <w:color w:val="auto"/>
                <w:sz w:val="20"/>
                <w:szCs w:val="20"/>
              </w:rPr>
              <w:lastRenderedPageBreak/>
              <w:t>ogni caso presentato l’APE</w:t>
            </w:r>
          </w:p>
        </w:tc>
        <w:tc>
          <w:tcPr>
            <w:tcW w:w="535" w:type="pct"/>
          </w:tcPr>
          <w:p w14:paraId="41E19BF3" w14:textId="77777777" w:rsidR="005B16FE" w:rsidRPr="00FF6F51" w:rsidRDefault="005B16FE" w:rsidP="00DC0018">
            <w:pPr>
              <w:pStyle w:val="Default"/>
              <w:rPr>
                <w:rFonts w:ascii="Titillium" w:hAnsi="Titillium"/>
                <w:b/>
                <w:bCs/>
                <w:i/>
                <w:iCs/>
                <w:color w:val="auto"/>
                <w:sz w:val="20"/>
                <w:szCs w:val="20"/>
              </w:rPr>
            </w:pPr>
          </w:p>
        </w:tc>
        <w:tc>
          <w:tcPr>
            <w:tcW w:w="1538" w:type="pct"/>
          </w:tcPr>
          <w:p w14:paraId="07289E0F" w14:textId="77777777" w:rsidR="005B16FE" w:rsidRPr="00FF6F51" w:rsidRDefault="005B16FE" w:rsidP="00DC0018">
            <w:pPr>
              <w:pStyle w:val="Default"/>
              <w:rPr>
                <w:rFonts w:ascii="Titillium" w:hAnsi="Titillium"/>
                <w:b/>
                <w:bCs/>
                <w:i/>
                <w:iCs/>
                <w:color w:val="auto"/>
                <w:sz w:val="20"/>
                <w:szCs w:val="20"/>
              </w:rPr>
            </w:pPr>
          </w:p>
        </w:tc>
      </w:tr>
      <w:tr w:rsidR="005B16FE" w:rsidRPr="00FF6F51" w14:paraId="5EBD5CB9" w14:textId="77777777" w:rsidTr="00443306">
        <w:trPr>
          <w:trHeight w:val="274"/>
        </w:trPr>
        <w:tc>
          <w:tcPr>
            <w:tcW w:w="385" w:type="pct"/>
            <w:vAlign w:val="center"/>
          </w:tcPr>
          <w:p w14:paraId="26D79978" w14:textId="77777777" w:rsidR="005B16FE" w:rsidRPr="00FF6F51" w:rsidRDefault="005B16FE" w:rsidP="00DC0018">
            <w:pPr>
              <w:pStyle w:val="Default"/>
              <w:jc w:val="center"/>
              <w:rPr>
                <w:rFonts w:ascii="Titillium" w:hAnsi="Titillium"/>
                <w:color w:val="auto"/>
                <w:sz w:val="20"/>
                <w:szCs w:val="20"/>
              </w:rPr>
            </w:pPr>
            <w:r w:rsidRPr="00FF6F51">
              <w:rPr>
                <w:rFonts w:ascii="Titillium" w:hAnsi="Titillium"/>
                <w:color w:val="auto"/>
                <w:sz w:val="20"/>
                <w:szCs w:val="20"/>
              </w:rPr>
              <w:t>12</w:t>
            </w:r>
          </w:p>
        </w:tc>
        <w:tc>
          <w:tcPr>
            <w:tcW w:w="2542" w:type="pct"/>
            <w:vAlign w:val="center"/>
          </w:tcPr>
          <w:p w14:paraId="382748CA" w14:textId="77777777" w:rsidR="005B16FE" w:rsidRPr="00FF6F51" w:rsidRDefault="005B16FE" w:rsidP="00DC0018">
            <w:pPr>
              <w:pStyle w:val="Default"/>
              <w:rPr>
                <w:rFonts w:ascii="Titillium" w:hAnsi="Titillium"/>
                <w:color w:val="auto"/>
                <w:sz w:val="20"/>
                <w:szCs w:val="20"/>
              </w:rPr>
            </w:pPr>
            <w:r w:rsidRPr="00FF6F51">
              <w:rPr>
                <w:rFonts w:ascii="Titillium" w:hAnsi="Titillium"/>
                <w:b/>
                <w:bCs/>
                <w:i/>
                <w:iCs/>
                <w:color w:val="auto"/>
                <w:sz w:val="20"/>
                <w:szCs w:val="20"/>
              </w:rPr>
              <w:t>Prestazione energetica</w:t>
            </w:r>
            <w:r w:rsidRPr="00FF6F51">
              <w:rPr>
                <w:rFonts w:ascii="Titillium" w:hAnsi="Titillium"/>
                <w:color w:val="auto"/>
                <w:sz w:val="20"/>
                <w:szCs w:val="20"/>
              </w:rPr>
              <w:t xml:space="preserve"> - I progetti degli interventi di nuova costruzione, inclusi gli interventi di demolizione e ricostruzione e quelli di ampliamento di edifici esistenti che abbiano un volume lordo climatizzato superiore al 15% di quello esistente o comunque superiore a 500 m 3, e degli interventi di ristrutturazione importante di primo livello, ferme restando le norme e i regolamenti più restrittivi, devono garantire le seguenti prestazioni: il rispetto delle condizioni di cui all’allegato 1 par. 3.3 punto 2 lett. b) del decreto ministeriale 26 giugno 2015 prevedendo, fin d’ora, l’applicazione degli indici che tale decreto prevede, per gli edifici pubblici, soltanto a partire dall’anno 2019. adeguate condizioni di comfort termico negli ambienti interni, attraverso una progettazione che preveda una capacità termica areica interna periodica (Cip) riferita ad ogni singola struttura opaca dell’involucro esterno, calcolata secondo la UNI EN ISO 13786:2008, di almeno 40 kJ/m 2 K oppure calcolando la temperatura operante estiva e lo scarto in valore assoluto valutato in accordo con la norma UNI EN 15251. I progetti degli interventi di ristrutturazione importante di secondo livello e di riqualificazione energetica riguardanti l’involucro edilizio devono rispettare i valori minimi di trasmittanza termica contenuti nelle tabelle 1-4 di cui all’appendice B del decreto ministeriale 26 giugno 2015 e </w:t>
            </w:r>
            <w:proofErr w:type="spellStart"/>
            <w:r w:rsidRPr="00FF6F51">
              <w:rPr>
                <w:rFonts w:ascii="Titillium" w:hAnsi="Titillium"/>
                <w:color w:val="auto"/>
                <w:sz w:val="20"/>
                <w:szCs w:val="20"/>
              </w:rPr>
              <w:t>s.m.i</w:t>
            </w:r>
            <w:proofErr w:type="spellEnd"/>
            <w:r w:rsidRPr="00FF6F51">
              <w:rPr>
                <w:rFonts w:ascii="Titillium" w:hAnsi="Titillium"/>
                <w:color w:val="auto"/>
                <w:sz w:val="20"/>
                <w:szCs w:val="20"/>
              </w:rPr>
              <w:t>, relativamente all’anno 2019 per gli edifici pubblici. I valori di trasmittanza delle precedenti tabelle si considerano non comprensivi dell’effetto dei ponti termici. In caso di interventi che prevedano l’isolamento termico dall’interno o l’isolamento termico in intercapedine, indipendentemente dall’entità della superficie coinvolta, deve essere mantenuta la capacità termica areica interna periodica dell’involucro esterno precedente all’intervento o in alternativa va calcolata la temperatura operante estiva in accordo con la UNI 10375 e lo scarto in valore assoluto valutato in accordo con la norma UNI EN 15251 rispetto a una temperatura di riferimento</w:t>
            </w:r>
            <w:r w:rsidRPr="00FF6F51">
              <w:rPr>
                <w:rFonts w:ascii="Titillium" w:hAnsi="Titillium"/>
                <w:color w:val="FF0000"/>
                <w:sz w:val="28"/>
                <w:szCs w:val="28"/>
              </w:rPr>
              <w:t>.</w:t>
            </w:r>
          </w:p>
        </w:tc>
        <w:tc>
          <w:tcPr>
            <w:tcW w:w="535" w:type="pct"/>
          </w:tcPr>
          <w:p w14:paraId="56205010" w14:textId="77777777" w:rsidR="005B16FE" w:rsidRPr="00FF6F51" w:rsidRDefault="005B16FE" w:rsidP="00DC0018">
            <w:pPr>
              <w:pStyle w:val="Default"/>
              <w:rPr>
                <w:rFonts w:ascii="Titillium" w:hAnsi="Titillium"/>
                <w:b/>
                <w:bCs/>
                <w:i/>
                <w:iCs/>
                <w:color w:val="auto"/>
                <w:sz w:val="20"/>
                <w:szCs w:val="20"/>
              </w:rPr>
            </w:pPr>
          </w:p>
        </w:tc>
        <w:tc>
          <w:tcPr>
            <w:tcW w:w="1538" w:type="pct"/>
          </w:tcPr>
          <w:p w14:paraId="30AC581F" w14:textId="77777777" w:rsidR="005B16FE" w:rsidRPr="00FF6F51" w:rsidRDefault="005B16FE" w:rsidP="00DC0018">
            <w:pPr>
              <w:pStyle w:val="Default"/>
              <w:rPr>
                <w:rFonts w:ascii="Titillium" w:hAnsi="Titillium"/>
                <w:b/>
                <w:bCs/>
                <w:i/>
                <w:iCs/>
                <w:color w:val="auto"/>
                <w:sz w:val="20"/>
                <w:szCs w:val="20"/>
              </w:rPr>
            </w:pPr>
          </w:p>
        </w:tc>
      </w:tr>
      <w:tr w:rsidR="005B16FE" w:rsidRPr="00FF6F51" w14:paraId="374A5102" w14:textId="77777777" w:rsidTr="00443306">
        <w:trPr>
          <w:trHeight w:val="274"/>
        </w:trPr>
        <w:tc>
          <w:tcPr>
            <w:tcW w:w="385" w:type="pct"/>
            <w:vAlign w:val="center"/>
          </w:tcPr>
          <w:p w14:paraId="219B1FA4" w14:textId="77777777" w:rsidR="005B16FE" w:rsidRPr="00FF6F51" w:rsidRDefault="005B16FE" w:rsidP="00DC0018">
            <w:pPr>
              <w:pStyle w:val="Default"/>
              <w:jc w:val="center"/>
              <w:rPr>
                <w:rFonts w:ascii="Titillium" w:hAnsi="Titillium"/>
                <w:color w:val="auto"/>
                <w:sz w:val="20"/>
                <w:szCs w:val="20"/>
              </w:rPr>
            </w:pPr>
            <w:r w:rsidRPr="00FF6F51">
              <w:rPr>
                <w:rFonts w:ascii="Titillium" w:hAnsi="Titillium"/>
                <w:color w:val="auto"/>
                <w:sz w:val="20"/>
                <w:szCs w:val="20"/>
              </w:rPr>
              <w:t>13</w:t>
            </w:r>
          </w:p>
        </w:tc>
        <w:tc>
          <w:tcPr>
            <w:tcW w:w="2542" w:type="pct"/>
            <w:vAlign w:val="center"/>
          </w:tcPr>
          <w:p w14:paraId="5719A8C6" w14:textId="77777777" w:rsidR="005B16FE" w:rsidRPr="00FF6F51" w:rsidRDefault="005B16FE" w:rsidP="00DC0018">
            <w:pPr>
              <w:pStyle w:val="Default"/>
              <w:rPr>
                <w:rFonts w:ascii="Titillium" w:hAnsi="Titillium"/>
                <w:color w:val="auto"/>
                <w:sz w:val="20"/>
                <w:szCs w:val="20"/>
              </w:rPr>
            </w:pPr>
            <w:r w:rsidRPr="00FF6F51">
              <w:rPr>
                <w:rFonts w:ascii="Titillium" w:hAnsi="Titillium"/>
                <w:b/>
                <w:bCs/>
                <w:i/>
                <w:iCs/>
                <w:color w:val="auto"/>
                <w:sz w:val="20"/>
                <w:szCs w:val="20"/>
              </w:rPr>
              <w:t>Approvvigionamento energetico</w:t>
            </w:r>
            <w:r w:rsidRPr="00FF6F51">
              <w:rPr>
                <w:rFonts w:ascii="Titillium" w:hAnsi="Titillium"/>
                <w:color w:val="auto"/>
                <w:sz w:val="20"/>
                <w:szCs w:val="20"/>
              </w:rPr>
              <w:t xml:space="preserve"> - I progetti degli interventi di nuova costruzione e degli interventi di ristrutturazione rilevante, inclusi gli interventi di demolizione e ricostruzione, ferme restando le norme e i regolamenti più restrittivi, devono garantire che il fabbisogno energetico complessivo dell’edificio sia soddisfatto da impianti a fonti rinnovabili o con sistemi alternativi ad alta efficienza (cogenerazione o </w:t>
            </w:r>
            <w:proofErr w:type="spellStart"/>
            <w:r w:rsidRPr="00FF6F51">
              <w:rPr>
                <w:rFonts w:ascii="Titillium" w:hAnsi="Titillium"/>
                <w:color w:val="auto"/>
                <w:sz w:val="20"/>
                <w:szCs w:val="20"/>
              </w:rPr>
              <w:t>trigenerazione</w:t>
            </w:r>
            <w:proofErr w:type="spellEnd"/>
            <w:r w:rsidRPr="00FF6F51">
              <w:rPr>
                <w:rFonts w:ascii="Titillium" w:hAnsi="Titillium"/>
                <w:color w:val="auto"/>
                <w:sz w:val="20"/>
                <w:szCs w:val="20"/>
              </w:rPr>
              <w:t xml:space="preserve"> ad alto rendimento, pompe di calore centralizzate etc.) che producono energia all’interno del sito </w:t>
            </w:r>
            <w:r w:rsidRPr="00FF6F51">
              <w:rPr>
                <w:rFonts w:ascii="Titillium" w:hAnsi="Titillium"/>
                <w:color w:val="auto"/>
                <w:sz w:val="20"/>
                <w:szCs w:val="20"/>
              </w:rPr>
              <w:lastRenderedPageBreak/>
              <w:t>stesso dell’edificio per un valore pari ad un ulteriore 10% rispetto ai valori indicati dal decreto legislativo 28/2011, allegato 3, secondo le scadenze temporali ivi previste</w:t>
            </w:r>
            <w:r w:rsidRPr="00FF6F51">
              <w:rPr>
                <w:rFonts w:ascii="Titillium" w:hAnsi="Titillium"/>
              </w:rPr>
              <w:t>.</w:t>
            </w:r>
          </w:p>
        </w:tc>
        <w:tc>
          <w:tcPr>
            <w:tcW w:w="535" w:type="pct"/>
          </w:tcPr>
          <w:p w14:paraId="0E6C97BD" w14:textId="77777777" w:rsidR="005B16FE" w:rsidRPr="00FF6F51" w:rsidRDefault="005B16FE" w:rsidP="00DC0018">
            <w:pPr>
              <w:pStyle w:val="Default"/>
              <w:rPr>
                <w:rFonts w:ascii="Titillium" w:hAnsi="Titillium"/>
                <w:b/>
                <w:bCs/>
                <w:i/>
                <w:iCs/>
                <w:color w:val="auto"/>
                <w:sz w:val="20"/>
                <w:szCs w:val="20"/>
              </w:rPr>
            </w:pPr>
          </w:p>
        </w:tc>
        <w:tc>
          <w:tcPr>
            <w:tcW w:w="1538" w:type="pct"/>
          </w:tcPr>
          <w:p w14:paraId="7705DF09" w14:textId="77777777" w:rsidR="005B16FE" w:rsidRPr="00FF6F51" w:rsidRDefault="005B16FE" w:rsidP="00DC0018">
            <w:pPr>
              <w:pStyle w:val="Default"/>
              <w:rPr>
                <w:rFonts w:ascii="Titillium" w:hAnsi="Titillium"/>
                <w:b/>
                <w:bCs/>
                <w:i/>
                <w:iCs/>
                <w:color w:val="auto"/>
                <w:sz w:val="20"/>
                <w:szCs w:val="20"/>
              </w:rPr>
            </w:pPr>
          </w:p>
        </w:tc>
      </w:tr>
      <w:tr w:rsidR="005B16FE" w:rsidRPr="00FF6F51" w14:paraId="047E1F15" w14:textId="77777777" w:rsidTr="00443306">
        <w:trPr>
          <w:trHeight w:val="274"/>
        </w:trPr>
        <w:tc>
          <w:tcPr>
            <w:tcW w:w="385" w:type="pct"/>
            <w:vAlign w:val="center"/>
          </w:tcPr>
          <w:p w14:paraId="39129391" w14:textId="77777777" w:rsidR="005B16FE" w:rsidRPr="00FF6F51" w:rsidRDefault="005B16FE" w:rsidP="00DC0018">
            <w:pPr>
              <w:pStyle w:val="Default"/>
              <w:jc w:val="center"/>
              <w:rPr>
                <w:rFonts w:ascii="Titillium" w:hAnsi="Titillium"/>
                <w:color w:val="auto"/>
                <w:sz w:val="20"/>
                <w:szCs w:val="20"/>
              </w:rPr>
            </w:pPr>
            <w:r w:rsidRPr="00FF6F51">
              <w:rPr>
                <w:rFonts w:ascii="Titillium" w:hAnsi="Titillium"/>
                <w:color w:val="auto"/>
                <w:sz w:val="20"/>
                <w:szCs w:val="20"/>
              </w:rPr>
              <w:t>14</w:t>
            </w:r>
          </w:p>
        </w:tc>
        <w:tc>
          <w:tcPr>
            <w:tcW w:w="2542" w:type="pct"/>
            <w:vAlign w:val="center"/>
          </w:tcPr>
          <w:p w14:paraId="18B3F35A" w14:textId="77777777" w:rsidR="005B16FE" w:rsidRPr="00FF6F51" w:rsidRDefault="005B16FE" w:rsidP="00DC0018">
            <w:pPr>
              <w:pStyle w:val="Default"/>
              <w:rPr>
                <w:rFonts w:ascii="Titillium" w:hAnsi="Titillium"/>
                <w:color w:val="auto"/>
                <w:sz w:val="20"/>
                <w:szCs w:val="20"/>
              </w:rPr>
            </w:pPr>
            <w:r w:rsidRPr="00FF6F51">
              <w:rPr>
                <w:rFonts w:ascii="Titillium" w:hAnsi="Titillium"/>
                <w:b/>
                <w:bCs/>
                <w:i/>
                <w:iCs/>
                <w:color w:val="auto"/>
                <w:sz w:val="20"/>
                <w:szCs w:val="20"/>
              </w:rPr>
              <w:t>Risparmio idrico</w:t>
            </w:r>
            <w:r w:rsidRPr="00FF6F51">
              <w:rPr>
                <w:rFonts w:ascii="Titillium" w:hAnsi="Titillium"/>
                <w:color w:val="auto"/>
                <w:sz w:val="20"/>
                <w:szCs w:val="20"/>
              </w:rPr>
              <w:t xml:space="preserve"> - I progetti degli interventi di nuova costruzione, inclusi gli interventi di demolizione e ricostruzione e degli interventi di ristrutturazione importante di primo livello, ferme restando le norme e i regolamenti più restrittivi, deve prevedere: la raccolta delle acque piovane per uso irriguo e/o per gli scarichi sanitari, attuata con impianti realizzati secondo la norma UNI/TS 11445 «Impianti per la raccolta e utilizzo dell’acqua piovana per usi diversi dal consumo umano - Progettazione, installazione e manutenzione» e la norma UNI EN 805 «Approvvigionamento di acqua - Requisiti per sistemi e componenti all’esterno di edifici» o norme equivalenti. Nel caso di manutenzione/ristrutturazione di edifici tale criterio è applicato laddove sia tecnicamente possibile; l’impiego di sistemi di riduzione di flusso, di controllo di portata, di controllo della temperatura dell’acqua; l’impiego di apparecchi sanitari con cassette a doppio scarico aventi scarico completo di massimo 6 litri e scarico ridotto di massimo 3 litri. Gli orinatoi senz’acqua devono utilizzare un liquido biodegradabile o funzionare completamente senza liquidi; Per gli edifici non residenziali deve essere inoltre previsto un sistema di monitoraggio dei consumi idrici.</w:t>
            </w:r>
          </w:p>
        </w:tc>
        <w:tc>
          <w:tcPr>
            <w:tcW w:w="535" w:type="pct"/>
          </w:tcPr>
          <w:p w14:paraId="4A8B76B9" w14:textId="77777777" w:rsidR="005B16FE" w:rsidRPr="00FF6F51" w:rsidRDefault="005B16FE" w:rsidP="00DC0018">
            <w:pPr>
              <w:pStyle w:val="Default"/>
              <w:rPr>
                <w:rFonts w:ascii="Titillium" w:hAnsi="Titillium"/>
                <w:b/>
                <w:bCs/>
                <w:i/>
                <w:iCs/>
                <w:color w:val="auto"/>
                <w:sz w:val="20"/>
                <w:szCs w:val="20"/>
              </w:rPr>
            </w:pPr>
          </w:p>
        </w:tc>
        <w:tc>
          <w:tcPr>
            <w:tcW w:w="1538" w:type="pct"/>
          </w:tcPr>
          <w:p w14:paraId="6356656E" w14:textId="77777777" w:rsidR="005B16FE" w:rsidRPr="00FF6F51" w:rsidRDefault="005B16FE" w:rsidP="00DC0018">
            <w:pPr>
              <w:pStyle w:val="Default"/>
              <w:rPr>
                <w:rFonts w:ascii="Titillium" w:hAnsi="Titillium"/>
                <w:b/>
                <w:bCs/>
                <w:i/>
                <w:iCs/>
                <w:color w:val="auto"/>
                <w:sz w:val="20"/>
                <w:szCs w:val="20"/>
              </w:rPr>
            </w:pPr>
          </w:p>
        </w:tc>
      </w:tr>
      <w:tr w:rsidR="005B16FE" w:rsidRPr="00FF6F51" w14:paraId="59810E9F" w14:textId="77777777" w:rsidTr="00443306">
        <w:trPr>
          <w:trHeight w:val="274"/>
        </w:trPr>
        <w:tc>
          <w:tcPr>
            <w:tcW w:w="385" w:type="pct"/>
            <w:vAlign w:val="center"/>
          </w:tcPr>
          <w:p w14:paraId="757B0E3D" w14:textId="77777777" w:rsidR="005B16FE" w:rsidRPr="00FF6F51" w:rsidRDefault="005B16FE" w:rsidP="00DC0018">
            <w:pPr>
              <w:pStyle w:val="Default"/>
              <w:jc w:val="center"/>
              <w:rPr>
                <w:rFonts w:ascii="Titillium" w:hAnsi="Titillium"/>
                <w:color w:val="auto"/>
                <w:sz w:val="20"/>
                <w:szCs w:val="20"/>
              </w:rPr>
            </w:pPr>
            <w:r w:rsidRPr="00FF6F51">
              <w:rPr>
                <w:rFonts w:ascii="Titillium" w:hAnsi="Titillium"/>
                <w:color w:val="auto"/>
                <w:sz w:val="20"/>
                <w:szCs w:val="20"/>
              </w:rPr>
              <w:t>15</w:t>
            </w:r>
          </w:p>
        </w:tc>
        <w:tc>
          <w:tcPr>
            <w:tcW w:w="2542" w:type="pct"/>
            <w:vAlign w:val="center"/>
          </w:tcPr>
          <w:p w14:paraId="0CDE4169" w14:textId="77777777" w:rsidR="005B16FE" w:rsidRPr="00FF6F51" w:rsidRDefault="005B16FE" w:rsidP="00DC0018">
            <w:pPr>
              <w:pStyle w:val="Default"/>
              <w:rPr>
                <w:rFonts w:ascii="Titillium" w:hAnsi="Titillium"/>
                <w:color w:val="auto"/>
                <w:sz w:val="20"/>
                <w:szCs w:val="20"/>
              </w:rPr>
            </w:pPr>
            <w:r w:rsidRPr="00FF6F51">
              <w:rPr>
                <w:rFonts w:ascii="Titillium" w:hAnsi="Titillium"/>
                <w:b/>
                <w:bCs/>
                <w:i/>
                <w:iCs/>
                <w:color w:val="auto"/>
                <w:sz w:val="20"/>
                <w:szCs w:val="20"/>
              </w:rPr>
              <w:t>Qualità ambientale interna</w:t>
            </w:r>
            <w:r w:rsidRPr="00FF6F51">
              <w:rPr>
                <w:rFonts w:ascii="Titillium" w:hAnsi="Titillium"/>
                <w:color w:val="auto"/>
                <w:sz w:val="20"/>
                <w:szCs w:val="20"/>
              </w:rPr>
              <w:t xml:space="preserve"> - I progetti degli interventi di nuova costruzione, inclusi gli interventi di demolizione e ricostruzione e degli interventi di ristrutturazione importante di primo livello, ferme restando le norme e i regolamenti più restrittivi devono rispettare i seguenti requisiti:</w:t>
            </w:r>
          </w:p>
          <w:p w14:paraId="45800760" w14:textId="77777777" w:rsidR="005B16FE" w:rsidRPr="00FF6F51" w:rsidRDefault="005B16FE" w:rsidP="00DC0018">
            <w:pPr>
              <w:pStyle w:val="Default"/>
              <w:numPr>
                <w:ilvl w:val="0"/>
                <w:numId w:val="12"/>
              </w:numPr>
              <w:rPr>
                <w:rFonts w:ascii="Titillium" w:hAnsi="Titillium"/>
                <w:color w:val="auto"/>
                <w:sz w:val="20"/>
                <w:szCs w:val="20"/>
              </w:rPr>
            </w:pPr>
            <w:r w:rsidRPr="00FF6F51">
              <w:rPr>
                <w:rFonts w:ascii="Titillium" w:hAnsi="Titillium"/>
                <w:color w:val="auto"/>
                <w:sz w:val="20"/>
                <w:szCs w:val="20"/>
              </w:rPr>
              <w:t xml:space="preserve">Illuminazione naturale: Nei locali regolarmente occupati deve essere garantito un fattore medio di luce diurna maggiore del 2% facendo salvo quanto previsto dalle norme vigenti su specifiche tipologie edilizie e facendo salvi gli interventi di ristrutturazione edilizia o restauro conservativo per i quali è prevista la conservazione dei caratteri tipologici e di prospetto degli edifici esistenti per effetto di norme di tutela dei beni architettonici (decreto legislativo 42/2004) o per effetto di specifiche indicazioni da parte delle Soprintendenze. Qualora l’orientamento del lotto e/o le preesistenze lo consentano le superfici illuminanti della zona giorno dovranno essere orientate a sud-est, sud o sud-ovest. Le vetrate con esposizione sud, sud-est e sud-ovest dovranno disporre di protezioni esterne </w:t>
            </w:r>
            <w:r w:rsidRPr="00FF6F51">
              <w:rPr>
                <w:rFonts w:ascii="Titillium" w:hAnsi="Titillium"/>
                <w:color w:val="auto"/>
                <w:sz w:val="20"/>
                <w:szCs w:val="20"/>
              </w:rPr>
              <w:lastRenderedPageBreak/>
              <w:t>progettate in modo da non bloccare l’accesso della radiazione solare diretta in inverno. Prevedere l’inserimento di dispositivi per il direzionamento della luce e/o per il controllo dell’abbagliamento in modo tale da impedire situazioni di elevato contrasto che possono ostacolare le attività;</w:t>
            </w:r>
          </w:p>
          <w:p w14:paraId="5BA7CA7C" w14:textId="77777777" w:rsidR="005B16FE" w:rsidRPr="00FF6F51" w:rsidRDefault="005B16FE" w:rsidP="00DC0018">
            <w:pPr>
              <w:pStyle w:val="Default"/>
              <w:numPr>
                <w:ilvl w:val="0"/>
                <w:numId w:val="12"/>
              </w:numPr>
              <w:rPr>
                <w:rFonts w:ascii="Titillium" w:hAnsi="Titillium"/>
                <w:color w:val="auto"/>
                <w:sz w:val="20"/>
                <w:szCs w:val="20"/>
              </w:rPr>
            </w:pPr>
            <w:r w:rsidRPr="00FF6F51">
              <w:rPr>
                <w:rFonts w:ascii="Titillium" w:hAnsi="Titillium"/>
                <w:color w:val="auto"/>
                <w:sz w:val="20"/>
                <w:szCs w:val="20"/>
              </w:rPr>
              <w:t xml:space="preserve">Aerazione naturale e ventilazione meccanica controllata: Deve essere garantita l’aerazione naturale diretta in tutti i locali in cui sia prevista una possibile occupazione da parte di persone anche per intervalli temporali ridotti. È necessario garantire l’aerazione naturale diretta in tutti i locali abitabili, tramite superfici apribili in relazione alla superficie calpestabile del locale (almeno 1/8 della superficie del pavimento), con strategie allocative e dimensionali finalizzate a garantire una buona qualità dell’aria interna. Il numero di ricambi deve essere quello previsto dalle norme UNI 10339 e UNI 13779. Per destinazioni d’uso diverse da quelle residenziali i valori dei ricambi d’aria dovranno essere ricavati dalla normativa tecnica UNI EN ISO 13779:2008. In caso di impianto di ventilazione meccanica (classe II, low </w:t>
            </w:r>
            <w:proofErr w:type="spellStart"/>
            <w:r w:rsidRPr="00FF6F51">
              <w:rPr>
                <w:rFonts w:ascii="Titillium" w:hAnsi="Titillium"/>
                <w:color w:val="auto"/>
                <w:sz w:val="20"/>
                <w:szCs w:val="20"/>
              </w:rPr>
              <w:t>polluting</w:t>
            </w:r>
            <w:proofErr w:type="spellEnd"/>
            <w:r w:rsidRPr="00FF6F51">
              <w:rPr>
                <w:rFonts w:ascii="Titillium" w:hAnsi="Titillium"/>
                <w:color w:val="auto"/>
                <w:sz w:val="20"/>
                <w:szCs w:val="20"/>
              </w:rPr>
              <w:t xml:space="preserve"> building, </w:t>
            </w:r>
            <w:proofErr w:type="spellStart"/>
            <w:r w:rsidRPr="00FF6F51">
              <w:rPr>
                <w:rFonts w:ascii="Titillium" w:hAnsi="Titillium"/>
                <w:color w:val="auto"/>
                <w:sz w:val="20"/>
                <w:szCs w:val="20"/>
              </w:rPr>
              <w:t>annex</w:t>
            </w:r>
            <w:proofErr w:type="spellEnd"/>
            <w:r w:rsidRPr="00FF6F51">
              <w:rPr>
                <w:rFonts w:ascii="Titillium" w:hAnsi="Titillium"/>
                <w:color w:val="auto"/>
                <w:sz w:val="20"/>
                <w:szCs w:val="20"/>
              </w:rPr>
              <w:t xml:space="preserve"> B.1) fare riferimento alla norma UNI 15251:2008. I bagni secondari senza aperture dovranno essere dotati obbligatoriamente di sistemi di aerazione forzata, che garantiscano almeno </w:t>
            </w:r>
            <w:proofErr w:type="gramStart"/>
            <w:r w:rsidRPr="00FF6F51">
              <w:rPr>
                <w:rFonts w:ascii="Titillium" w:hAnsi="Titillium"/>
                <w:color w:val="auto"/>
                <w:sz w:val="20"/>
                <w:szCs w:val="20"/>
              </w:rPr>
              <w:t>5</w:t>
            </w:r>
            <w:proofErr w:type="gramEnd"/>
            <w:r w:rsidRPr="00FF6F51">
              <w:rPr>
                <w:rFonts w:ascii="Titillium" w:hAnsi="Titillium"/>
                <w:color w:val="auto"/>
                <w:sz w:val="20"/>
                <w:szCs w:val="20"/>
              </w:rPr>
              <w:t xml:space="preserve"> ricambi l’ora. Nella realizzazione di impianti di ventilazione a funzionamento meccanico controllato (VMC) si dovranno limitare la dispersione termica, il rumore, il consumo di energia, l’ingresso dall’esterno di agenti inquinanti e di aria calda nei mesi estivi. È auspicabile che tali impianti prevedano anche il recupero di calore statico e/o la regolazione del livello di umidità dell’aria e/o un ciclo termodinamico a doppio flusso per il recupero dell’energia contenuta nell’aria estratta per trasferirla all’aria immessa (</w:t>
            </w:r>
            <w:proofErr w:type="spellStart"/>
            <w:proofErr w:type="gramStart"/>
            <w:r w:rsidRPr="00FF6F51">
              <w:rPr>
                <w:rFonts w:ascii="Titillium" w:hAnsi="Titillium"/>
                <w:color w:val="auto"/>
                <w:sz w:val="20"/>
                <w:szCs w:val="20"/>
              </w:rPr>
              <w:t>pre</w:t>
            </w:r>
            <w:proofErr w:type="spellEnd"/>
            <w:r w:rsidRPr="00FF6F51">
              <w:rPr>
                <w:rFonts w:ascii="Titillium" w:hAnsi="Titillium"/>
                <w:color w:val="auto"/>
                <w:sz w:val="20"/>
                <w:szCs w:val="20"/>
              </w:rPr>
              <w:t>-trattamento</w:t>
            </w:r>
            <w:proofErr w:type="gramEnd"/>
            <w:r w:rsidRPr="00FF6F51">
              <w:rPr>
                <w:rFonts w:ascii="Titillium" w:hAnsi="Titillium"/>
                <w:color w:val="auto"/>
                <w:sz w:val="20"/>
                <w:szCs w:val="20"/>
              </w:rPr>
              <w:t xml:space="preserve"> per riscaldamento e raffrescamento dell’aria, già filtrata, da immettere negli ambienti)</w:t>
            </w:r>
          </w:p>
          <w:p w14:paraId="4F0FE45E" w14:textId="77777777" w:rsidR="005B16FE" w:rsidRPr="00FF6F51" w:rsidRDefault="005B16FE" w:rsidP="00DC0018">
            <w:pPr>
              <w:pStyle w:val="Default"/>
              <w:numPr>
                <w:ilvl w:val="0"/>
                <w:numId w:val="12"/>
              </w:numPr>
              <w:rPr>
                <w:rFonts w:ascii="Titillium" w:hAnsi="Titillium"/>
                <w:color w:val="auto"/>
                <w:sz w:val="20"/>
                <w:szCs w:val="20"/>
              </w:rPr>
            </w:pPr>
            <w:r w:rsidRPr="00FF6F51">
              <w:rPr>
                <w:rFonts w:ascii="Titillium" w:hAnsi="Titillium"/>
                <w:color w:val="auto"/>
                <w:sz w:val="20"/>
                <w:szCs w:val="20"/>
              </w:rPr>
              <w:t xml:space="preserve">Dispositivi di protezione solare: Al fine di controllare l’immissione nell’ambiente interno di radiazione solare diretta, le parti trasparenti esterne degli edifici sia verticali che inclinate, devono essere dotate di sistemi di schermatura e/o ombreggiamento fissi o mobili verso l’esterno e con esposizione da sud-sud est (SSE) a sud-sud ovest (SSO). Il soddisfacimento del </w:t>
            </w:r>
            <w:r w:rsidRPr="00FF6F51">
              <w:rPr>
                <w:rFonts w:ascii="Titillium" w:hAnsi="Titillium"/>
                <w:color w:val="auto"/>
                <w:sz w:val="20"/>
                <w:szCs w:val="20"/>
              </w:rPr>
              <w:lastRenderedPageBreak/>
              <w:t>requisito può essere raggiunto anche attraverso le sole e specifiche caratteristiche della componente vetrata. Per i dispositivi di protezione solare di chiusure trasparenti dell’involucro edilizio è richiesta una prestazione di schermatura solare di classe 2 o superiore come definito dalla norma UNI EN 14501:2006. Il requisito va verificato dalle ore 10 alle ore 16 del 21 dicembre (ora solare) per il periodo invernale (solstizio invernale) e del 21 giugno per il periodo estivo (solstizio estivo). Il requisito non si applica alle superfici trasparenti dei sistemi di captazione solare (serre bioclimatiche, etc.), solo nel caso che siano apribili o che risultino non esposte alla radiazione solare diretta perché protetti, ad esempio, da ombre portate da parti dell’edificio o da altri edifici circostanti.</w:t>
            </w:r>
          </w:p>
          <w:p w14:paraId="2FB8C483" w14:textId="77777777" w:rsidR="005B16FE" w:rsidRPr="00FF6F51" w:rsidRDefault="005B16FE" w:rsidP="00DC0018">
            <w:pPr>
              <w:pStyle w:val="Default"/>
              <w:numPr>
                <w:ilvl w:val="0"/>
                <w:numId w:val="12"/>
              </w:numPr>
              <w:rPr>
                <w:rFonts w:ascii="Titillium" w:hAnsi="Titillium"/>
                <w:color w:val="auto"/>
                <w:sz w:val="20"/>
                <w:szCs w:val="20"/>
              </w:rPr>
            </w:pPr>
            <w:r w:rsidRPr="00FF6F51">
              <w:rPr>
                <w:rFonts w:ascii="Titillium" w:hAnsi="Titillium"/>
                <w:color w:val="auto"/>
                <w:sz w:val="20"/>
                <w:szCs w:val="20"/>
              </w:rPr>
              <w:t xml:space="preserve">Inquinamento elettromagnetico indoor: Al fine di ridurre il più possibile l’esposizione indoor a campi magnetici a bassa frequenza (ELF) indotti da quadri elettrici, montanti, dorsali di conduttori etc., la progettazione degli impianti deve prevedere che: il quadro generale, i contatori e le colonne montanti siano collocati all’esterno e non in adiacenza a locali con permanenza prolungata di persone; la posa degli impianti elettrici sia effettuata se c ondo lo schema a «stella» o ad «albero» o a «lisca di pesce», mantenendo i conduttori di un circuito il più possibile vicini l’uno all’altro. Effettuare la posa razionale dei cavi elettrici in modo che i conduttori di ritorno siano affiancati alle fasi di andata e alla minima distanza possibile. Al fine di ridurre il più possibile l’esposizione indoor a campi magnetici ad alta frequenza (RF) dotare i locali di sistemi di trasferimento dati alternativi al wi-fi, es. la connessione via cavo o la tecnologia Powerline </w:t>
            </w:r>
            <w:proofErr w:type="spellStart"/>
            <w:r w:rsidRPr="00FF6F51">
              <w:rPr>
                <w:rFonts w:ascii="Titillium" w:hAnsi="Titillium"/>
                <w:color w:val="auto"/>
                <w:sz w:val="20"/>
                <w:szCs w:val="20"/>
              </w:rPr>
              <w:t>comunication</w:t>
            </w:r>
            <w:proofErr w:type="spellEnd"/>
            <w:r w:rsidRPr="00FF6F51">
              <w:rPr>
                <w:rFonts w:ascii="Titillium" w:hAnsi="Titillium"/>
                <w:color w:val="auto"/>
                <w:sz w:val="20"/>
                <w:szCs w:val="20"/>
              </w:rPr>
              <w:t xml:space="preserve"> (PLC);</w:t>
            </w:r>
          </w:p>
          <w:p w14:paraId="5E57B1AD" w14:textId="77777777" w:rsidR="005B16FE" w:rsidRPr="00FF6F51" w:rsidRDefault="005B16FE" w:rsidP="00DC0018">
            <w:pPr>
              <w:pStyle w:val="Default"/>
              <w:numPr>
                <w:ilvl w:val="0"/>
                <w:numId w:val="12"/>
              </w:numPr>
              <w:rPr>
                <w:rFonts w:ascii="Titillium" w:hAnsi="Titillium"/>
                <w:color w:val="auto"/>
                <w:sz w:val="20"/>
                <w:szCs w:val="20"/>
              </w:rPr>
            </w:pPr>
            <w:r w:rsidRPr="00FF6F51">
              <w:rPr>
                <w:rFonts w:ascii="Titillium" w:hAnsi="Titillium"/>
                <w:color w:val="auto"/>
                <w:sz w:val="20"/>
                <w:szCs w:val="20"/>
              </w:rPr>
              <w:t>Emissioni materiali: Ogni materiale elencato di seguito deve rispettare i limiti di emissione esposti nella tabella al punto 2.3.5.5 del CAM Edilizia (</w:t>
            </w:r>
            <w:hyperlink r:id="rId12" w:history="1">
              <w:r w:rsidRPr="00FF6F51">
                <w:rPr>
                  <w:rStyle w:val="Collegamentoipertestuale"/>
                  <w:rFonts w:ascii="Titillium" w:hAnsi="Titillium"/>
                </w:rPr>
                <w:t>GU 259 CAMedilizia.pdf (mite.gov.it)</w:t>
              </w:r>
            </w:hyperlink>
            <w:r w:rsidRPr="00FF6F51">
              <w:rPr>
                <w:rFonts w:ascii="Titillium" w:hAnsi="Titillium"/>
              </w:rPr>
              <w:t>):</w:t>
            </w:r>
            <w:r w:rsidRPr="00FF6F51">
              <w:rPr>
                <w:rFonts w:ascii="Titillium" w:hAnsi="Titillium"/>
                <w:color w:val="auto"/>
                <w:sz w:val="20"/>
                <w:szCs w:val="20"/>
              </w:rPr>
              <w:t xml:space="preserve"> pitture e vernici; tessili per pavimentazioni e rivestimenti; laminati per pavimenti e rivestimenti flessibili; pavimentazioni e rivestimenti in legno; altre pavimentazioni (diverse da piastrelle di ceramica e laterizi); adesivi e sigillanti; pannelli per rivestimenti </w:t>
            </w:r>
            <w:r w:rsidRPr="00FF6F51">
              <w:rPr>
                <w:rFonts w:ascii="Titillium" w:hAnsi="Titillium"/>
                <w:color w:val="auto"/>
                <w:sz w:val="20"/>
                <w:szCs w:val="20"/>
              </w:rPr>
              <w:lastRenderedPageBreak/>
              <w:t>interni (es. lastre in cartongesso);</w:t>
            </w:r>
          </w:p>
          <w:p w14:paraId="65481CC0" w14:textId="77777777" w:rsidR="005B16FE" w:rsidRPr="00FF6F51" w:rsidRDefault="005B16FE" w:rsidP="00DC0018">
            <w:pPr>
              <w:pStyle w:val="Default"/>
              <w:numPr>
                <w:ilvl w:val="0"/>
                <w:numId w:val="12"/>
              </w:numPr>
              <w:rPr>
                <w:rFonts w:ascii="Titillium" w:hAnsi="Titillium"/>
                <w:color w:val="auto"/>
                <w:sz w:val="20"/>
                <w:szCs w:val="20"/>
              </w:rPr>
            </w:pPr>
            <w:r w:rsidRPr="00FF6F51">
              <w:rPr>
                <w:rFonts w:ascii="Titillium" w:hAnsi="Titillium"/>
                <w:color w:val="auto"/>
                <w:sz w:val="20"/>
                <w:szCs w:val="20"/>
              </w:rPr>
              <w:t>Confort acustico: I valori dei requisiti acustici passivi dell’edificio devono corrispondere almeno a quelli della classe II ai sensi della norma UNI 11367. Gli ospedali, le case di cura e le scuole devono soddisfare il livello di «prestazione superiore» riportato nel prospetto A.1 dell’Appendice A della norma 11367. Devono essere altresì rispettati i valori caratterizzati come «prestazione buona» nel prospetto B.1 dell’appendice B alla norma UNI 11367. Gli ambienti interni devono essere idonei al raggiungimento dei valori indicati per i descrittori acustici riportati nella norma UNI 11532. I descrittori acustici da utilizzare sono: quelli definiti nella UNI 11367 per i requisiti acustici passivi delle unità immobiliari; almeno il tempo di riverberazione e lo STI per l’acustica interna agli ambienti di cui alla UNI 11532;</w:t>
            </w:r>
          </w:p>
          <w:p w14:paraId="1A83E8F7" w14:textId="77777777" w:rsidR="005B16FE" w:rsidRPr="00FF6F51" w:rsidRDefault="005B16FE" w:rsidP="00DC0018">
            <w:pPr>
              <w:pStyle w:val="Default"/>
              <w:numPr>
                <w:ilvl w:val="0"/>
                <w:numId w:val="12"/>
              </w:numPr>
              <w:rPr>
                <w:rFonts w:ascii="Titillium" w:hAnsi="Titillium"/>
                <w:color w:val="auto"/>
                <w:sz w:val="20"/>
                <w:szCs w:val="20"/>
              </w:rPr>
            </w:pPr>
            <w:r w:rsidRPr="00FF6F51">
              <w:rPr>
                <w:rFonts w:ascii="Titillium" w:hAnsi="Titillium"/>
                <w:color w:val="auto"/>
                <w:sz w:val="20"/>
                <w:szCs w:val="20"/>
              </w:rPr>
              <w:t xml:space="preserve">Comfort termo-igrometrico: Al fine di assicurare le condizioni ottimali di benessere termo-igrometrico e di qualità dell’aria interna bisogna garantire condizioni conformi almeno alla classe B secondo la norma ISO 7730:2005 in termini di PMV (Voto medio previsto) e di PPD (Percentuale prevista di insoddisfatti). </w:t>
            </w:r>
            <w:proofErr w:type="gramStart"/>
            <w:r w:rsidRPr="00FF6F51">
              <w:rPr>
                <w:rFonts w:ascii="Titillium" w:hAnsi="Titillium"/>
                <w:color w:val="auto"/>
                <w:sz w:val="20"/>
                <w:szCs w:val="20"/>
              </w:rPr>
              <w:t>Inoltre</w:t>
            </w:r>
            <w:proofErr w:type="gramEnd"/>
            <w:r w:rsidRPr="00FF6F51">
              <w:rPr>
                <w:rFonts w:ascii="Titillium" w:hAnsi="Titillium"/>
                <w:color w:val="auto"/>
                <w:sz w:val="20"/>
                <w:szCs w:val="20"/>
              </w:rPr>
              <w:t xml:space="preserve"> bisogna garantire la conformità ai requisiti previsti nella norma UNI EN 13788 ai sensi del decreto ministeriale 26 giugno 2015 anche in riferimento a tutti i ponti termici sia per edifici nuovi che per edifici esistenti;</w:t>
            </w:r>
          </w:p>
          <w:p w14:paraId="518CFED5" w14:textId="77777777" w:rsidR="005B16FE" w:rsidRPr="00FF6F51" w:rsidRDefault="005B16FE" w:rsidP="00DC0018">
            <w:pPr>
              <w:pStyle w:val="Default"/>
              <w:numPr>
                <w:ilvl w:val="0"/>
                <w:numId w:val="12"/>
              </w:numPr>
              <w:rPr>
                <w:rFonts w:ascii="Titillium" w:hAnsi="Titillium"/>
                <w:color w:val="auto"/>
                <w:sz w:val="20"/>
                <w:szCs w:val="20"/>
              </w:rPr>
            </w:pPr>
            <w:r w:rsidRPr="00FF6F51">
              <w:rPr>
                <w:rFonts w:ascii="Titillium" w:hAnsi="Titillium"/>
                <w:color w:val="auto"/>
                <w:sz w:val="20"/>
                <w:szCs w:val="20"/>
              </w:rPr>
              <w:t>Nel caso che l’area di progetto sia caratterizzata da un rischio di esposizione al gas Radon secondo la mappatura regionale, devono essere adottate strategie progettuali e tecniche costruttive atte a controllare la migrazione di Radon negli ambienti confinati e deve essere previsto un sistema di misurazione e avviso automatico della concentrazione di Radon all’interno degli edifici. Il progettista deve verificare che i componenti utilizzati abbiano documentazione specifica in merito alla eventuale mitigazione di radon negli ambienti interni.</w:t>
            </w:r>
          </w:p>
        </w:tc>
        <w:tc>
          <w:tcPr>
            <w:tcW w:w="535" w:type="pct"/>
          </w:tcPr>
          <w:p w14:paraId="29190693" w14:textId="77777777" w:rsidR="005B16FE" w:rsidRPr="00FF6F51" w:rsidRDefault="005B16FE" w:rsidP="00DC0018">
            <w:pPr>
              <w:pStyle w:val="Default"/>
              <w:rPr>
                <w:rFonts w:ascii="Titillium" w:hAnsi="Titillium"/>
                <w:b/>
                <w:bCs/>
                <w:i/>
                <w:iCs/>
                <w:color w:val="auto"/>
                <w:sz w:val="20"/>
                <w:szCs w:val="20"/>
              </w:rPr>
            </w:pPr>
          </w:p>
        </w:tc>
        <w:tc>
          <w:tcPr>
            <w:tcW w:w="1538" w:type="pct"/>
          </w:tcPr>
          <w:p w14:paraId="401DFD09" w14:textId="77777777" w:rsidR="005B16FE" w:rsidRPr="00FF6F51" w:rsidRDefault="005B16FE" w:rsidP="00DC0018">
            <w:pPr>
              <w:pStyle w:val="Default"/>
              <w:rPr>
                <w:rFonts w:ascii="Titillium" w:hAnsi="Titillium"/>
                <w:b/>
                <w:bCs/>
                <w:i/>
                <w:iCs/>
                <w:color w:val="auto"/>
                <w:sz w:val="20"/>
                <w:szCs w:val="20"/>
              </w:rPr>
            </w:pPr>
          </w:p>
        </w:tc>
      </w:tr>
      <w:tr w:rsidR="005B16FE" w:rsidRPr="00FF6F51" w14:paraId="59A87FC4" w14:textId="77777777" w:rsidTr="00443306">
        <w:trPr>
          <w:trHeight w:val="274"/>
        </w:trPr>
        <w:tc>
          <w:tcPr>
            <w:tcW w:w="385" w:type="pct"/>
            <w:vAlign w:val="center"/>
          </w:tcPr>
          <w:p w14:paraId="471AC71F" w14:textId="77777777" w:rsidR="005B16FE" w:rsidRPr="00FF6F51" w:rsidRDefault="005B16FE" w:rsidP="00DC0018">
            <w:pPr>
              <w:pStyle w:val="Default"/>
              <w:jc w:val="center"/>
              <w:rPr>
                <w:rFonts w:ascii="Titillium" w:hAnsi="Titillium"/>
                <w:color w:val="auto"/>
                <w:sz w:val="20"/>
                <w:szCs w:val="20"/>
              </w:rPr>
            </w:pPr>
            <w:r w:rsidRPr="00FF6F51">
              <w:rPr>
                <w:rFonts w:ascii="Titillium" w:hAnsi="Titillium"/>
                <w:color w:val="auto"/>
                <w:sz w:val="20"/>
                <w:szCs w:val="20"/>
              </w:rPr>
              <w:lastRenderedPageBreak/>
              <w:t>16</w:t>
            </w:r>
          </w:p>
        </w:tc>
        <w:tc>
          <w:tcPr>
            <w:tcW w:w="2542" w:type="pct"/>
            <w:vAlign w:val="center"/>
          </w:tcPr>
          <w:p w14:paraId="6955D689" w14:textId="77777777" w:rsidR="005B16FE" w:rsidRPr="00FF6F51" w:rsidRDefault="005B16FE" w:rsidP="00DC0018">
            <w:pPr>
              <w:pStyle w:val="Default"/>
              <w:rPr>
                <w:rFonts w:ascii="Titillium" w:hAnsi="Titillium"/>
                <w:color w:val="auto"/>
                <w:sz w:val="20"/>
                <w:szCs w:val="20"/>
              </w:rPr>
            </w:pPr>
            <w:r w:rsidRPr="00FF6F51">
              <w:rPr>
                <w:rFonts w:ascii="Titillium" w:hAnsi="Titillium"/>
                <w:b/>
                <w:bCs/>
                <w:i/>
                <w:iCs/>
                <w:color w:val="auto"/>
                <w:sz w:val="20"/>
                <w:szCs w:val="20"/>
              </w:rPr>
              <w:t>Piano di manutenzione dell’opera</w:t>
            </w:r>
            <w:r w:rsidRPr="00FF6F51">
              <w:rPr>
                <w:rFonts w:ascii="Titillium" w:hAnsi="Titillium"/>
                <w:color w:val="auto"/>
                <w:sz w:val="20"/>
                <w:szCs w:val="20"/>
              </w:rPr>
              <w:t xml:space="preserve"> - Il progetto dell’edificio deve prevedere la verifica dei livelli prestazionali (qualitativi e quantitativi) in riferimento alle prestazioni ambientali di cui alle specifiche tecniche e ai criteri premianti, come per esempio la verifica a posteriori della prestazione della copertura di cui al criterio 6. Il piano di manutenzione generale deve prevedere un programma di monitoraggio e </w:t>
            </w:r>
            <w:r w:rsidRPr="00FF6F51">
              <w:rPr>
                <w:rFonts w:ascii="Titillium" w:hAnsi="Titillium"/>
                <w:color w:val="auto"/>
                <w:sz w:val="20"/>
                <w:szCs w:val="20"/>
              </w:rPr>
              <w:lastRenderedPageBreak/>
              <w:t>controllo della qualità dell’aria interna all’edificio, tenendo conto che tale programma è chiaramente individuabile soltanto al momento dello start-up dell’impianto, con l’ausilio di personale qualificato professionalmente a questo fine.</w:t>
            </w:r>
          </w:p>
        </w:tc>
        <w:tc>
          <w:tcPr>
            <w:tcW w:w="535" w:type="pct"/>
          </w:tcPr>
          <w:p w14:paraId="1D1443A7" w14:textId="77777777" w:rsidR="005B16FE" w:rsidRPr="00FF6F51" w:rsidRDefault="005B16FE" w:rsidP="00DC0018">
            <w:pPr>
              <w:pStyle w:val="Default"/>
              <w:rPr>
                <w:rFonts w:ascii="Titillium" w:hAnsi="Titillium"/>
                <w:b/>
                <w:bCs/>
                <w:i/>
                <w:iCs/>
                <w:color w:val="auto"/>
                <w:sz w:val="20"/>
                <w:szCs w:val="20"/>
              </w:rPr>
            </w:pPr>
          </w:p>
        </w:tc>
        <w:tc>
          <w:tcPr>
            <w:tcW w:w="1538" w:type="pct"/>
          </w:tcPr>
          <w:p w14:paraId="2D741724" w14:textId="77777777" w:rsidR="005B16FE" w:rsidRPr="00FF6F51" w:rsidRDefault="005B16FE" w:rsidP="00DC0018">
            <w:pPr>
              <w:pStyle w:val="Default"/>
              <w:rPr>
                <w:rFonts w:ascii="Titillium" w:hAnsi="Titillium"/>
                <w:b/>
                <w:bCs/>
                <w:i/>
                <w:iCs/>
                <w:color w:val="auto"/>
                <w:sz w:val="20"/>
                <w:szCs w:val="20"/>
              </w:rPr>
            </w:pPr>
          </w:p>
        </w:tc>
      </w:tr>
      <w:tr w:rsidR="005B16FE" w:rsidRPr="00FF6F51" w14:paraId="44CBD137" w14:textId="77777777" w:rsidTr="00443306">
        <w:trPr>
          <w:trHeight w:val="274"/>
        </w:trPr>
        <w:tc>
          <w:tcPr>
            <w:tcW w:w="385" w:type="pct"/>
            <w:vAlign w:val="center"/>
          </w:tcPr>
          <w:p w14:paraId="303A6B2E" w14:textId="77777777" w:rsidR="005B16FE" w:rsidRPr="00FF6F51" w:rsidRDefault="005B16FE" w:rsidP="00DC0018">
            <w:pPr>
              <w:pStyle w:val="Default"/>
              <w:jc w:val="center"/>
              <w:rPr>
                <w:rFonts w:ascii="Titillium" w:hAnsi="Titillium"/>
                <w:color w:val="auto"/>
                <w:sz w:val="20"/>
                <w:szCs w:val="20"/>
              </w:rPr>
            </w:pPr>
            <w:r w:rsidRPr="00FF6F51">
              <w:rPr>
                <w:rFonts w:ascii="Titillium" w:hAnsi="Titillium"/>
                <w:color w:val="auto"/>
                <w:sz w:val="20"/>
                <w:szCs w:val="20"/>
              </w:rPr>
              <w:t>17</w:t>
            </w:r>
          </w:p>
        </w:tc>
        <w:tc>
          <w:tcPr>
            <w:tcW w:w="2542" w:type="pct"/>
            <w:vAlign w:val="center"/>
          </w:tcPr>
          <w:p w14:paraId="4C2E898B" w14:textId="77777777" w:rsidR="005B16FE" w:rsidRPr="00FF6F51" w:rsidRDefault="005B16FE" w:rsidP="00DC0018">
            <w:pPr>
              <w:pStyle w:val="Default"/>
              <w:rPr>
                <w:rFonts w:ascii="Titillium" w:hAnsi="Titillium"/>
                <w:color w:val="auto"/>
                <w:sz w:val="20"/>
                <w:szCs w:val="20"/>
              </w:rPr>
            </w:pPr>
            <w:r w:rsidRPr="00FF6F51">
              <w:rPr>
                <w:rFonts w:ascii="Titillium" w:hAnsi="Titillium"/>
                <w:b/>
                <w:bCs/>
                <w:i/>
                <w:iCs/>
                <w:color w:val="auto"/>
                <w:sz w:val="20"/>
                <w:szCs w:val="20"/>
              </w:rPr>
              <w:t>Fine vita</w:t>
            </w:r>
            <w:r w:rsidRPr="00FF6F51">
              <w:rPr>
                <w:rFonts w:ascii="Titillium" w:hAnsi="Titillium"/>
                <w:color w:val="auto"/>
                <w:sz w:val="20"/>
                <w:szCs w:val="20"/>
              </w:rPr>
              <w:t xml:space="preserve"> - I progetti degli interventi di nuova costruzione, inclusi gli interventi di demolizione e ricostruzione devono prevedere un piano per il disassemblaggio e la demolizione selettiva dell’opera a fine vita che permetta il riutilizzo o il riciclo dei materiali, componenti edilizi e degli elementi prefabbricati utilizzati</w:t>
            </w:r>
          </w:p>
        </w:tc>
        <w:tc>
          <w:tcPr>
            <w:tcW w:w="535" w:type="pct"/>
          </w:tcPr>
          <w:p w14:paraId="305F7E6D" w14:textId="77777777" w:rsidR="005B16FE" w:rsidRPr="00FF6F51" w:rsidRDefault="005B16FE" w:rsidP="00DC0018">
            <w:pPr>
              <w:pStyle w:val="Default"/>
              <w:rPr>
                <w:rFonts w:ascii="Titillium" w:hAnsi="Titillium"/>
                <w:b/>
                <w:bCs/>
                <w:i/>
                <w:iCs/>
                <w:color w:val="auto"/>
                <w:sz w:val="20"/>
                <w:szCs w:val="20"/>
              </w:rPr>
            </w:pPr>
          </w:p>
        </w:tc>
        <w:tc>
          <w:tcPr>
            <w:tcW w:w="1538" w:type="pct"/>
          </w:tcPr>
          <w:p w14:paraId="5A81E8C6" w14:textId="77777777" w:rsidR="005B16FE" w:rsidRPr="00FF6F51" w:rsidRDefault="005B16FE" w:rsidP="00DC0018">
            <w:pPr>
              <w:pStyle w:val="Default"/>
              <w:rPr>
                <w:rFonts w:ascii="Titillium" w:hAnsi="Titillium"/>
                <w:b/>
                <w:bCs/>
                <w:i/>
                <w:iCs/>
                <w:color w:val="auto"/>
                <w:sz w:val="20"/>
                <w:szCs w:val="20"/>
              </w:rPr>
            </w:pPr>
          </w:p>
        </w:tc>
      </w:tr>
      <w:tr w:rsidR="005B16FE" w:rsidRPr="00FF6F51" w14:paraId="0E884282" w14:textId="77777777" w:rsidTr="00443306">
        <w:trPr>
          <w:trHeight w:val="274"/>
        </w:trPr>
        <w:tc>
          <w:tcPr>
            <w:tcW w:w="2927" w:type="pct"/>
            <w:gridSpan w:val="2"/>
            <w:shd w:val="clear" w:color="auto" w:fill="D9E2F3"/>
            <w:vAlign w:val="center"/>
          </w:tcPr>
          <w:p w14:paraId="5A260A4A" w14:textId="77777777" w:rsidR="005B16FE" w:rsidRPr="00FF6F51" w:rsidRDefault="005B16FE" w:rsidP="00DC0018">
            <w:pPr>
              <w:pStyle w:val="Default"/>
              <w:jc w:val="center"/>
              <w:rPr>
                <w:rFonts w:ascii="Titillium" w:hAnsi="Titillium"/>
                <w:color w:val="auto"/>
                <w:sz w:val="20"/>
                <w:szCs w:val="20"/>
              </w:rPr>
            </w:pPr>
            <w:r w:rsidRPr="00FF6F51">
              <w:rPr>
                <w:rFonts w:ascii="Titillium" w:hAnsi="Titillium"/>
                <w:color w:val="auto"/>
                <w:sz w:val="20"/>
                <w:szCs w:val="20"/>
              </w:rPr>
              <w:t>Specifiche tecniche dei componenti edilizi</w:t>
            </w:r>
          </w:p>
        </w:tc>
        <w:tc>
          <w:tcPr>
            <w:tcW w:w="535" w:type="pct"/>
            <w:shd w:val="clear" w:color="auto" w:fill="D9E2F3"/>
          </w:tcPr>
          <w:p w14:paraId="00659486" w14:textId="77777777" w:rsidR="005B16FE" w:rsidRPr="00FF6F51" w:rsidRDefault="005B16FE" w:rsidP="00DC0018">
            <w:pPr>
              <w:pStyle w:val="Default"/>
              <w:jc w:val="center"/>
              <w:rPr>
                <w:rFonts w:ascii="Titillium" w:hAnsi="Titillium"/>
                <w:color w:val="auto"/>
                <w:sz w:val="20"/>
                <w:szCs w:val="20"/>
              </w:rPr>
            </w:pPr>
          </w:p>
        </w:tc>
        <w:tc>
          <w:tcPr>
            <w:tcW w:w="1538" w:type="pct"/>
            <w:shd w:val="clear" w:color="auto" w:fill="D9E2F3"/>
          </w:tcPr>
          <w:p w14:paraId="53FF91C6" w14:textId="77777777" w:rsidR="005B16FE" w:rsidRPr="00FF6F51" w:rsidRDefault="005B16FE" w:rsidP="00DC0018">
            <w:pPr>
              <w:pStyle w:val="Default"/>
              <w:jc w:val="center"/>
              <w:rPr>
                <w:rFonts w:ascii="Titillium" w:hAnsi="Titillium"/>
                <w:color w:val="auto"/>
                <w:sz w:val="20"/>
                <w:szCs w:val="20"/>
              </w:rPr>
            </w:pPr>
          </w:p>
        </w:tc>
      </w:tr>
      <w:tr w:rsidR="005B16FE" w:rsidRPr="00FF6F51" w14:paraId="3A2BCA53" w14:textId="77777777" w:rsidTr="00443306">
        <w:trPr>
          <w:trHeight w:val="274"/>
        </w:trPr>
        <w:tc>
          <w:tcPr>
            <w:tcW w:w="385" w:type="pct"/>
            <w:vAlign w:val="center"/>
          </w:tcPr>
          <w:p w14:paraId="1C6C3478" w14:textId="77777777" w:rsidR="005B16FE" w:rsidRPr="00FF6F51" w:rsidRDefault="005B16FE" w:rsidP="00DC0018">
            <w:pPr>
              <w:pStyle w:val="Default"/>
              <w:jc w:val="center"/>
              <w:rPr>
                <w:rFonts w:ascii="Titillium" w:hAnsi="Titillium"/>
                <w:color w:val="auto"/>
                <w:sz w:val="20"/>
                <w:szCs w:val="20"/>
              </w:rPr>
            </w:pPr>
            <w:r w:rsidRPr="00FF6F51">
              <w:rPr>
                <w:rFonts w:ascii="Titillium" w:hAnsi="Titillium"/>
                <w:color w:val="auto"/>
                <w:sz w:val="20"/>
                <w:szCs w:val="20"/>
              </w:rPr>
              <w:t>18</w:t>
            </w:r>
          </w:p>
        </w:tc>
        <w:tc>
          <w:tcPr>
            <w:tcW w:w="2542" w:type="pct"/>
            <w:vAlign w:val="center"/>
          </w:tcPr>
          <w:p w14:paraId="7E259EC1" w14:textId="77777777" w:rsidR="005B16FE" w:rsidRPr="00FF6F51" w:rsidRDefault="005B16FE" w:rsidP="00DC0018">
            <w:pPr>
              <w:pStyle w:val="Default"/>
              <w:rPr>
                <w:rFonts w:ascii="Titillium" w:hAnsi="Titillium"/>
                <w:color w:val="auto"/>
                <w:sz w:val="20"/>
                <w:szCs w:val="20"/>
              </w:rPr>
            </w:pPr>
            <w:proofErr w:type="spellStart"/>
            <w:r w:rsidRPr="00FF6F51">
              <w:rPr>
                <w:rFonts w:ascii="Titillium" w:hAnsi="Titillium"/>
                <w:b/>
                <w:bCs/>
                <w:i/>
                <w:iCs/>
                <w:color w:val="auto"/>
                <w:sz w:val="20"/>
                <w:szCs w:val="20"/>
              </w:rPr>
              <w:t>Disassemblabilità</w:t>
            </w:r>
            <w:proofErr w:type="spellEnd"/>
            <w:r w:rsidRPr="00FF6F51">
              <w:rPr>
                <w:rFonts w:ascii="Titillium" w:hAnsi="Titillium"/>
                <w:color w:val="auto"/>
                <w:sz w:val="20"/>
                <w:szCs w:val="20"/>
              </w:rPr>
              <w:t xml:space="preserve"> - Almeno il 50% peso/peso dei componenti edilizi e degli elementi prefabbricati, escludendo gli impianti, deve essere sottoponibile, a fine vita, a demolizione selettiva ed essere riciclabile o riutilizzabile. Di tale percentuale, almeno il 15% deve essere costituito da materiali non strutturali; </w:t>
            </w:r>
          </w:p>
        </w:tc>
        <w:tc>
          <w:tcPr>
            <w:tcW w:w="535" w:type="pct"/>
          </w:tcPr>
          <w:p w14:paraId="0448570A" w14:textId="77777777" w:rsidR="005B16FE" w:rsidRPr="00FF6F51" w:rsidRDefault="005B16FE" w:rsidP="00DC0018">
            <w:pPr>
              <w:pStyle w:val="Default"/>
              <w:rPr>
                <w:rFonts w:ascii="Titillium" w:hAnsi="Titillium"/>
                <w:b/>
                <w:bCs/>
                <w:i/>
                <w:iCs/>
                <w:color w:val="auto"/>
                <w:sz w:val="20"/>
                <w:szCs w:val="20"/>
              </w:rPr>
            </w:pPr>
          </w:p>
        </w:tc>
        <w:tc>
          <w:tcPr>
            <w:tcW w:w="1538" w:type="pct"/>
          </w:tcPr>
          <w:p w14:paraId="663FD719" w14:textId="77777777" w:rsidR="005B16FE" w:rsidRPr="00FF6F51" w:rsidRDefault="005B16FE" w:rsidP="00DC0018">
            <w:pPr>
              <w:pStyle w:val="Default"/>
              <w:rPr>
                <w:rFonts w:ascii="Titillium" w:hAnsi="Titillium"/>
                <w:b/>
                <w:bCs/>
                <w:i/>
                <w:iCs/>
                <w:color w:val="auto"/>
                <w:sz w:val="20"/>
                <w:szCs w:val="20"/>
              </w:rPr>
            </w:pPr>
          </w:p>
        </w:tc>
      </w:tr>
      <w:tr w:rsidR="005B16FE" w:rsidRPr="00FF6F51" w14:paraId="0CA70BFB" w14:textId="77777777" w:rsidTr="00443306">
        <w:trPr>
          <w:trHeight w:val="274"/>
        </w:trPr>
        <w:tc>
          <w:tcPr>
            <w:tcW w:w="385" w:type="pct"/>
            <w:vAlign w:val="center"/>
          </w:tcPr>
          <w:p w14:paraId="3CFDAFBD" w14:textId="77777777" w:rsidR="005B16FE" w:rsidRPr="00FF6F51" w:rsidRDefault="005B16FE" w:rsidP="00DC0018">
            <w:pPr>
              <w:pStyle w:val="Default"/>
              <w:jc w:val="center"/>
              <w:rPr>
                <w:rFonts w:ascii="Titillium" w:hAnsi="Titillium"/>
                <w:color w:val="auto"/>
                <w:sz w:val="20"/>
                <w:szCs w:val="20"/>
              </w:rPr>
            </w:pPr>
            <w:r w:rsidRPr="00FF6F51">
              <w:rPr>
                <w:rFonts w:ascii="Titillium" w:hAnsi="Titillium"/>
                <w:color w:val="auto"/>
                <w:sz w:val="20"/>
                <w:szCs w:val="20"/>
              </w:rPr>
              <w:t>19</w:t>
            </w:r>
          </w:p>
        </w:tc>
        <w:tc>
          <w:tcPr>
            <w:tcW w:w="2542" w:type="pct"/>
            <w:vAlign w:val="center"/>
          </w:tcPr>
          <w:p w14:paraId="6B4BBA7A" w14:textId="77777777" w:rsidR="005B16FE" w:rsidRPr="00FF6F51" w:rsidRDefault="005B16FE" w:rsidP="00DC0018">
            <w:pPr>
              <w:pStyle w:val="Default"/>
              <w:rPr>
                <w:rFonts w:ascii="Titillium" w:hAnsi="Titillium"/>
                <w:color w:val="auto"/>
                <w:sz w:val="20"/>
                <w:szCs w:val="20"/>
              </w:rPr>
            </w:pPr>
            <w:r w:rsidRPr="00FF6F51">
              <w:rPr>
                <w:rFonts w:ascii="Titillium" w:hAnsi="Titillium"/>
                <w:b/>
                <w:bCs/>
                <w:i/>
                <w:iCs/>
                <w:color w:val="auto"/>
                <w:sz w:val="20"/>
                <w:szCs w:val="20"/>
              </w:rPr>
              <w:t>Materia recuperata o riciclata</w:t>
            </w:r>
            <w:r w:rsidRPr="00FF6F51">
              <w:rPr>
                <w:rFonts w:ascii="Titillium" w:hAnsi="Titillium"/>
                <w:color w:val="auto"/>
                <w:sz w:val="20"/>
                <w:szCs w:val="20"/>
              </w:rPr>
              <w:t xml:space="preserve"> - Il contenuto di materia recuperata o riciclata nei materiali utilizzati per l’edificio, anche considerando diverse percentuali per ogni materiale, deve essere pari ad almeno il 15% in peso valutato sul totale di tutti i materiali utilizzati. Di tale percentuale, almeno il 5% deve essere costituita da materiali non strutturali. Per le diverse categorie di materiali e componenti edilizi valgono in sostituzione, qualora specificate, le percentuali contenute nei criteri 21, 22, 23, 24, 25, 26, 27, 28, 29, 30, 31, 32, 33 e 34. Il suddetto requisito può essere derogato quando il componente impiegato rientri contemporaneamente nei due casi sotto riportati: </w:t>
            </w:r>
          </w:p>
          <w:p w14:paraId="533DCBD6" w14:textId="77777777" w:rsidR="005B16FE" w:rsidRPr="00FF6F51" w:rsidRDefault="005B16FE" w:rsidP="00DC0018">
            <w:pPr>
              <w:pStyle w:val="Default"/>
              <w:numPr>
                <w:ilvl w:val="0"/>
                <w:numId w:val="14"/>
              </w:numPr>
              <w:rPr>
                <w:rFonts w:ascii="Titillium" w:hAnsi="Titillium"/>
                <w:color w:val="auto"/>
                <w:sz w:val="20"/>
                <w:szCs w:val="20"/>
              </w:rPr>
            </w:pPr>
            <w:r w:rsidRPr="00FF6F51">
              <w:rPr>
                <w:rFonts w:ascii="Titillium" w:hAnsi="Titillium"/>
                <w:color w:val="auto"/>
                <w:sz w:val="20"/>
                <w:szCs w:val="20"/>
              </w:rPr>
              <w:t>abbia una specifica funzione di protezione dell’edificio da agenti esterni quali ad esempio acque meteoriche (p. es membrane per impermeabilizzazione);</w:t>
            </w:r>
          </w:p>
          <w:p w14:paraId="04C1B1C7" w14:textId="77777777" w:rsidR="005B16FE" w:rsidRPr="00FF6F51" w:rsidRDefault="005B16FE" w:rsidP="00DC0018">
            <w:pPr>
              <w:pStyle w:val="Default"/>
              <w:numPr>
                <w:ilvl w:val="0"/>
                <w:numId w:val="14"/>
              </w:numPr>
              <w:rPr>
                <w:rFonts w:ascii="Titillium" w:hAnsi="Titillium"/>
                <w:color w:val="auto"/>
                <w:sz w:val="20"/>
                <w:szCs w:val="20"/>
              </w:rPr>
            </w:pPr>
            <w:r w:rsidRPr="00FF6F51">
              <w:rPr>
                <w:rFonts w:ascii="Titillium" w:hAnsi="Titillium"/>
                <w:color w:val="auto"/>
                <w:sz w:val="20"/>
                <w:szCs w:val="20"/>
              </w:rPr>
              <w:t xml:space="preserve"> sussistano specifici obblighi di legge a garanzie minime di durabilità legate alla suddetta funzione.</w:t>
            </w:r>
          </w:p>
        </w:tc>
        <w:tc>
          <w:tcPr>
            <w:tcW w:w="535" w:type="pct"/>
          </w:tcPr>
          <w:p w14:paraId="15CDDB63" w14:textId="77777777" w:rsidR="005B16FE" w:rsidRPr="00FF6F51" w:rsidRDefault="005B16FE" w:rsidP="00DC0018">
            <w:pPr>
              <w:pStyle w:val="Default"/>
              <w:rPr>
                <w:rFonts w:ascii="Titillium" w:hAnsi="Titillium"/>
                <w:b/>
                <w:bCs/>
                <w:i/>
                <w:iCs/>
                <w:color w:val="auto"/>
                <w:sz w:val="20"/>
                <w:szCs w:val="20"/>
              </w:rPr>
            </w:pPr>
          </w:p>
        </w:tc>
        <w:tc>
          <w:tcPr>
            <w:tcW w:w="1538" w:type="pct"/>
          </w:tcPr>
          <w:p w14:paraId="1566325E" w14:textId="77777777" w:rsidR="005B16FE" w:rsidRPr="00FF6F51" w:rsidRDefault="005B16FE" w:rsidP="00DC0018">
            <w:pPr>
              <w:pStyle w:val="Default"/>
              <w:rPr>
                <w:rFonts w:ascii="Titillium" w:hAnsi="Titillium"/>
                <w:b/>
                <w:bCs/>
                <w:i/>
                <w:iCs/>
                <w:color w:val="auto"/>
                <w:sz w:val="20"/>
                <w:szCs w:val="20"/>
              </w:rPr>
            </w:pPr>
          </w:p>
        </w:tc>
      </w:tr>
      <w:tr w:rsidR="005B16FE" w:rsidRPr="00FF6F51" w14:paraId="32B08C7E" w14:textId="77777777" w:rsidTr="00443306">
        <w:trPr>
          <w:trHeight w:val="274"/>
        </w:trPr>
        <w:tc>
          <w:tcPr>
            <w:tcW w:w="385" w:type="pct"/>
            <w:vAlign w:val="center"/>
          </w:tcPr>
          <w:p w14:paraId="7F8348C3" w14:textId="77777777" w:rsidR="005B16FE" w:rsidRPr="00FF6F51" w:rsidRDefault="005B16FE" w:rsidP="00DC0018">
            <w:pPr>
              <w:pStyle w:val="Default"/>
              <w:jc w:val="center"/>
              <w:rPr>
                <w:rFonts w:ascii="Titillium" w:hAnsi="Titillium"/>
                <w:color w:val="auto"/>
                <w:sz w:val="20"/>
                <w:szCs w:val="20"/>
              </w:rPr>
            </w:pPr>
            <w:r w:rsidRPr="00FF6F51">
              <w:rPr>
                <w:rFonts w:ascii="Titillium" w:hAnsi="Titillium"/>
                <w:color w:val="auto"/>
                <w:sz w:val="20"/>
                <w:szCs w:val="20"/>
              </w:rPr>
              <w:t>20</w:t>
            </w:r>
          </w:p>
        </w:tc>
        <w:tc>
          <w:tcPr>
            <w:tcW w:w="2542" w:type="pct"/>
            <w:vAlign w:val="center"/>
          </w:tcPr>
          <w:p w14:paraId="6A8B63F6" w14:textId="77777777" w:rsidR="005B16FE" w:rsidRPr="00FF6F51" w:rsidRDefault="005B16FE" w:rsidP="00DC0018">
            <w:pPr>
              <w:pStyle w:val="Default"/>
              <w:rPr>
                <w:rFonts w:ascii="Titillium" w:hAnsi="Titillium"/>
                <w:color w:val="auto"/>
                <w:sz w:val="20"/>
                <w:szCs w:val="20"/>
              </w:rPr>
            </w:pPr>
            <w:r w:rsidRPr="00FF6F51">
              <w:rPr>
                <w:rFonts w:ascii="Titillium" w:hAnsi="Titillium"/>
                <w:b/>
                <w:bCs/>
                <w:i/>
                <w:iCs/>
                <w:color w:val="auto"/>
                <w:sz w:val="20"/>
                <w:szCs w:val="20"/>
              </w:rPr>
              <w:t>Sostanze pericolose</w:t>
            </w:r>
            <w:r w:rsidRPr="00FF6F51">
              <w:rPr>
                <w:rFonts w:ascii="Titillium" w:hAnsi="Titillium"/>
                <w:color w:val="auto"/>
                <w:sz w:val="20"/>
                <w:szCs w:val="20"/>
              </w:rPr>
              <w:t xml:space="preserve"> - Nei componenti, parti o materiali usati non devono essere aggiunti intenzionalmente: 1. additivi a base di cadmio, piombo, cromo VI, mercurio, arsenico e selenio in concentrazione superiore allo 0.010% in peso. </w:t>
            </w:r>
          </w:p>
          <w:p w14:paraId="0086CFC7" w14:textId="77777777" w:rsidR="005B16FE" w:rsidRPr="00FF6F51" w:rsidRDefault="005B16FE" w:rsidP="00DC0018">
            <w:pPr>
              <w:pStyle w:val="Default"/>
              <w:rPr>
                <w:rFonts w:ascii="Titillium" w:hAnsi="Titillium"/>
                <w:color w:val="auto"/>
                <w:sz w:val="20"/>
                <w:szCs w:val="20"/>
              </w:rPr>
            </w:pPr>
            <w:r w:rsidRPr="00FF6F51">
              <w:rPr>
                <w:rFonts w:ascii="Titillium" w:hAnsi="Titillium"/>
                <w:color w:val="auto"/>
                <w:sz w:val="20"/>
                <w:szCs w:val="20"/>
              </w:rPr>
              <w:t>2. sostanze identificate come «estremamente preoccupanti» (</w:t>
            </w:r>
            <w:proofErr w:type="spellStart"/>
            <w:r w:rsidRPr="00FF6F51">
              <w:rPr>
                <w:rFonts w:ascii="Titillium" w:hAnsi="Titillium"/>
                <w:color w:val="auto"/>
                <w:sz w:val="20"/>
                <w:szCs w:val="20"/>
              </w:rPr>
              <w:t>SVHCs</w:t>
            </w:r>
            <w:proofErr w:type="spellEnd"/>
            <w:r w:rsidRPr="00FF6F51">
              <w:rPr>
                <w:rFonts w:ascii="Titillium" w:hAnsi="Titillium"/>
                <w:color w:val="auto"/>
                <w:sz w:val="20"/>
                <w:szCs w:val="20"/>
              </w:rPr>
              <w:t xml:space="preserve">) ai sensi dell’art.59 del Regolamento (CE) n. 1907/2006 ad una concentrazione maggiore dello 0,10% peso/peso; </w:t>
            </w:r>
          </w:p>
          <w:p w14:paraId="4EDDBEFD" w14:textId="77777777" w:rsidR="005B16FE" w:rsidRPr="00FF6F51" w:rsidRDefault="005B16FE" w:rsidP="00DC0018">
            <w:pPr>
              <w:pStyle w:val="Default"/>
              <w:rPr>
                <w:rFonts w:ascii="Titillium" w:hAnsi="Titillium"/>
                <w:color w:val="auto"/>
                <w:sz w:val="20"/>
                <w:szCs w:val="20"/>
              </w:rPr>
            </w:pPr>
            <w:r w:rsidRPr="00FF6F51">
              <w:rPr>
                <w:rFonts w:ascii="Titillium" w:hAnsi="Titillium"/>
                <w:color w:val="auto"/>
                <w:sz w:val="20"/>
                <w:szCs w:val="20"/>
              </w:rPr>
              <w:t xml:space="preserve">3. Sostanze o miscele classificate o classificabili con le seguenti indicazioni di pericolo: come cancerogene, mutagene o tossiche per la riproduzione di categoria 1A, 1B o 2 (H340, </w:t>
            </w:r>
            <w:r w:rsidRPr="00FF6F51">
              <w:rPr>
                <w:rFonts w:ascii="Titillium" w:hAnsi="Titillium"/>
                <w:color w:val="auto"/>
                <w:sz w:val="20"/>
                <w:szCs w:val="20"/>
              </w:rPr>
              <w:lastRenderedPageBreak/>
              <w:t>H350, H350i, H360, H360F, H360D, H360FD, H360Fd, H360Df, H341, H351, H361f, H361d, H361fd, H362); come pericolose per l’ambiente acquatico di categoria 1,2 (H400, H410, H411); come aventi tossicità specifica per organi bersaglio di categoria 1 e 2 (H370, H371, H372, H373).</w:t>
            </w:r>
          </w:p>
        </w:tc>
        <w:tc>
          <w:tcPr>
            <w:tcW w:w="535" w:type="pct"/>
          </w:tcPr>
          <w:p w14:paraId="2BF4C482" w14:textId="77777777" w:rsidR="005B16FE" w:rsidRPr="00FF6F51" w:rsidRDefault="005B16FE" w:rsidP="00DC0018">
            <w:pPr>
              <w:pStyle w:val="Default"/>
              <w:rPr>
                <w:rFonts w:ascii="Titillium" w:hAnsi="Titillium"/>
                <w:b/>
                <w:bCs/>
                <w:i/>
                <w:iCs/>
                <w:color w:val="auto"/>
                <w:sz w:val="20"/>
                <w:szCs w:val="20"/>
              </w:rPr>
            </w:pPr>
          </w:p>
        </w:tc>
        <w:tc>
          <w:tcPr>
            <w:tcW w:w="1538" w:type="pct"/>
          </w:tcPr>
          <w:p w14:paraId="682370F0" w14:textId="77777777" w:rsidR="005B16FE" w:rsidRPr="00FF6F51" w:rsidRDefault="005B16FE" w:rsidP="00DC0018">
            <w:pPr>
              <w:pStyle w:val="Default"/>
              <w:rPr>
                <w:rFonts w:ascii="Titillium" w:hAnsi="Titillium"/>
                <w:b/>
                <w:bCs/>
                <w:i/>
                <w:iCs/>
                <w:color w:val="auto"/>
                <w:sz w:val="20"/>
                <w:szCs w:val="20"/>
              </w:rPr>
            </w:pPr>
          </w:p>
        </w:tc>
      </w:tr>
      <w:tr w:rsidR="005B16FE" w:rsidRPr="00FF6F51" w14:paraId="2864892C" w14:textId="77777777" w:rsidTr="00443306">
        <w:trPr>
          <w:trHeight w:val="274"/>
        </w:trPr>
        <w:tc>
          <w:tcPr>
            <w:tcW w:w="385" w:type="pct"/>
            <w:vAlign w:val="center"/>
          </w:tcPr>
          <w:p w14:paraId="3A0A876E" w14:textId="77777777" w:rsidR="005B16FE" w:rsidRPr="00FF6F51" w:rsidRDefault="005B16FE" w:rsidP="00DC0018">
            <w:pPr>
              <w:pStyle w:val="Default"/>
              <w:jc w:val="center"/>
              <w:rPr>
                <w:rFonts w:ascii="Titillium" w:hAnsi="Titillium"/>
                <w:color w:val="auto"/>
                <w:sz w:val="20"/>
                <w:szCs w:val="20"/>
              </w:rPr>
            </w:pPr>
            <w:r w:rsidRPr="00FF6F51">
              <w:rPr>
                <w:rFonts w:ascii="Titillium" w:hAnsi="Titillium"/>
                <w:color w:val="auto"/>
                <w:sz w:val="20"/>
                <w:szCs w:val="20"/>
              </w:rPr>
              <w:t>21</w:t>
            </w:r>
          </w:p>
        </w:tc>
        <w:tc>
          <w:tcPr>
            <w:tcW w:w="2542" w:type="pct"/>
            <w:vAlign w:val="center"/>
          </w:tcPr>
          <w:p w14:paraId="40FA4FA4" w14:textId="77777777" w:rsidR="005B16FE" w:rsidRPr="00FF6F51" w:rsidRDefault="005B16FE" w:rsidP="00DC0018">
            <w:pPr>
              <w:pStyle w:val="Default"/>
              <w:rPr>
                <w:rFonts w:ascii="Titillium" w:hAnsi="Titillium"/>
                <w:color w:val="auto"/>
                <w:sz w:val="20"/>
                <w:szCs w:val="20"/>
              </w:rPr>
            </w:pPr>
            <w:r w:rsidRPr="00FF6F51">
              <w:rPr>
                <w:rFonts w:ascii="Titillium" w:hAnsi="Titillium"/>
                <w:b/>
                <w:bCs/>
                <w:i/>
                <w:iCs/>
                <w:color w:val="auto"/>
                <w:sz w:val="20"/>
                <w:szCs w:val="20"/>
              </w:rPr>
              <w:t>Calcestruzzi confezionati in cantiere o preconfezionati</w:t>
            </w:r>
            <w:r w:rsidRPr="00FF6F51">
              <w:rPr>
                <w:rFonts w:ascii="Titillium" w:hAnsi="Titillium"/>
                <w:color w:val="auto"/>
                <w:sz w:val="20"/>
                <w:szCs w:val="20"/>
              </w:rPr>
              <w:t xml:space="preserve"> - I calcestruzzi usati per il progetto devono essere prodotti con un contenuto di materiale riciclato (sul secco) di almeno il 5% sul peso del prodotto (inteso come somma delle singole componenti). Al fine del calcolo della massa di materiale riciclato va considerata la quantità che rimane effettivamente nel prodotto finale.</w:t>
            </w:r>
          </w:p>
        </w:tc>
        <w:tc>
          <w:tcPr>
            <w:tcW w:w="535" w:type="pct"/>
          </w:tcPr>
          <w:p w14:paraId="5DCE27C2" w14:textId="77777777" w:rsidR="005B16FE" w:rsidRPr="00FF6F51" w:rsidRDefault="005B16FE" w:rsidP="00DC0018">
            <w:pPr>
              <w:pStyle w:val="Default"/>
              <w:rPr>
                <w:rFonts w:ascii="Titillium" w:hAnsi="Titillium"/>
                <w:b/>
                <w:bCs/>
                <w:i/>
                <w:iCs/>
                <w:color w:val="auto"/>
                <w:sz w:val="20"/>
                <w:szCs w:val="20"/>
              </w:rPr>
            </w:pPr>
          </w:p>
        </w:tc>
        <w:tc>
          <w:tcPr>
            <w:tcW w:w="1538" w:type="pct"/>
          </w:tcPr>
          <w:p w14:paraId="48D82DDE" w14:textId="77777777" w:rsidR="005B16FE" w:rsidRPr="00FF6F51" w:rsidRDefault="005B16FE" w:rsidP="00DC0018">
            <w:pPr>
              <w:pStyle w:val="Default"/>
              <w:rPr>
                <w:rFonts w:ascii="Titillium" w:hAnsi="Titillium"/>
                <w:b/>
                <w:bCs/>
                <w:i/>
                <w:iCs/>
                <w:color w:val="auto"/>
                <w:sz w:val="20"/>
                <w:szCs w:val="20"/>
              </w:rPr>
            </w:pPr>
          </w:p>
        </w:tc>
      </w:tr>
      <w:tr w:rsidR="005B16FE" w:rsidRPr="00FF6F51" w14:paraId="3C5A0DB9" w14:textId="77777777" w:rsidTr="00443306">
        <w:trPr>
          <w:trHeight w:val="274"/>
        </w:trPr>
        <w:tc>
          <w:tcPr>
            <w:tcW w:w="385" w:type="pct"/>
            <w:vAlign w:val="center"/>
          </w:tcPr>
          <w:p w14:paraId="33EF2990" w14:textId="77777777" w:rsidR="005B16FE" w:rsidRPr="00FF6F51" w:rsidRDefault="005B16FE" w:rsidP="00DC0018">
            <w:pPr>
              <w:pStyle w:val="Default"/>
              <w:jc w:val="center"/>
              <w:rPr>
                <w:rFonts w:ascii="Titillium" w:hAnsi="Titillium"/>
                <w:color w:val="auto"/>
                <w:sz w:val="20"/>
                <w:szCs w:val="20"/>
              </w:rPr>
            </w:pPr>
            <w:r w:rsidRPr="00FF6F51">
              <w:rPr>
                <w:rFonts w:ascii="Titillium" w:hAnsi="Titillium"/>
                <w:color w:val="auto"/>
                <w:sz w:val="20"/>
                <w:szCs w:val="20"/>
              </w:rPr>
              <w:t>22</w:t>
            </w:r>
          </w:p>
        </w:tc>
        <w:tc>
          <w:tcPr>
            <w:tcW w:w="2542" w:type="pct"/>
            <w:vAlign w:val="center"/>
          </w:tcPr>
          <w:p w14:paraId="791A4536" w14:textId="77777777" w:rsidR="005B16FE" w:rsidRPr="00FF6F51" w:rsidRDefault="005B16FE" w:rsidP="00DC0018">
            <w:pPr>
              <w:pStyle w:val="Default"/>
              <w:rPr>
                <w:rFonts w:ascii="Titillium" w:hAnsi="Titillium"/>
                <w:color w:val="auto"/>
                <w:sz w:val="20"/>
                <w:szCs w:val="20"/>
              </w:rPr>
            </w:pPr>
            <w:r w:rsidRPr="00FF6F51">
              <w:rPr>
                <w:rFonts w:ascii="Titillium" w:hAnsi="Titillium"/>
                <w:b/>
                <w:bCs/>
                <w:i/>
                <w:iCs/>
                <w:color w:val="auto"/>
                <w:sz w:val="20"/>
                <w:szCs w:val="20"/>
              </w:rPr>
              <w:t>Elementi prefabbricati in calcestruzzo</w:t>
            </w:r>
            <w:r w:rsidRPr="00FF6F51">
              <w:rPr>
                <w:rFonts w:ascii="Titillium" w:hAnsi="Titillium"/>
                <w:color w:val="auto"/>
                <w:sz w:val="20"/>
                <w:szCs w:val="20"/>
              </w:rPr>
              <w:t xml:space="preserve"> - Gli elementi prefabbricati in calcestruzzo utilizzati nell’opera devono avere un contenuto totale di almeno il 5% in peso di materie riciclate, e/o recuperate, e/o di sottoprodotti</w:t>
            </w:r>
          </w:p>
        </w:tc>
        <w:tc>
          <w:tcPr>
            <w:tcW w:w="535" w:type="pct"/>
          </w:tcPr>
          <w:p w14:paraId="7FDE28E4" w14:textId="77777777" w:rsidR="005B16FE" w:rsidRPr="00FF6F51" w:rsidRDefault="005B16FE" w:rsidP="00DC0018">
            <w:pPr>
              <w:pStyle w:val="Default"/>
              <w:rPr>
                <w:rFonts w:ascii="Titillium" w:hAnsi="Titillium"/>
                <w:b/>
                <w:bCs/>
                <w:i/>
                <w:iCs/>
                <w:color w:val="auto"/>
                <w:sz w:val="20"/>
                <w:szCs w:val="20"/>
              </w:rPr>
            </w:pPr>
          </w:p>
        </w:tc>
        <w:tc>
          <w:tcPr>
            <w:tcW w:w="1538" w:type="pct"/>
          </w:tcPr>
          <w:p w14:paraId="08D3B1D6" w14:textId="77777777" w:rsidR="005B16FE" w:rsidRPr="00FF6F51" w:rsidRDefault="005B16FE" w:rsidP="00DC0018">
            <w:pPr>
              <w:pStyle w:val="Default"/>
              <w:rPr>
                <w:rFonts w:ascii="Titillium" w:hAnsi="Titillium"/>
                <w:b/>
                <w:bCs/>
                <w:i/>
                <w:iCs/>
                <w:color w:val="auto"/>
                <w:sz w:val="20"/>
                <w:szCs w:val="20"/>
              </w:rPr>
            </w:pPr>
          </w:p>
        </w:tc>
      </w:tr>
      <w:tr w:rsidR="005B16FE" w:rsidRPr="00FF6F51" w14:paraId="04384477" w14:textId="77777777" w:rsidTr="00443306">
        <w:trPr>
          <w:trHeight w:val="274"/>
        </w:trPr>
        <w:tc>
          <w:tcPr>
            <w:tcW w:w="385" w:type="pct"/>
            <w:vAlign w:val="center"/>
          </w:tcPr>
          <w:p w14:paraId="65CD47C6" w14:textId="77777777" w:rsidR="005B16FE" w:rsidRPr="00FF6F51" w:rsidRDefault="005B16FE" w:rsidP="00DC0018">
            <w:pPr>
              <w:pStyle w:val="Default"/>
              <w:jc w:val="center"/>
              <w:rPr>
                <w:rFonts w:ascii="Titillium" w:hAnsi="Titillium"/>
                <w:color w:val="auto"/>
                <w:sz w:val="20"/>
                <w:szCs w:val="20"/>
              </w:rPr>
            </w:pPr>
            <w:r w:rsidRPr="00FF6F51">
              <w:rPr>
                <w:rFonts w:ascii="Titillium" w:hAnsi="Titillium"/>
                <w:color w:val="auto"/>
                <w:sz w:val="20"/>
                <w:szCs w:val="20"/>
              </w:rPr>
              <w:t>23</w:t>
            </w:r>
          </w:p>
        </w:tc>
        <w:tc>
          <w:tcPr>
            <w:tcW w:w="2542" w:type="pct"/>
            <w:vAlign w:val="center"/>
          </w:tcPr>
          <w:p w14:paraId="0F476168" w14:textId="77777777" w:rsidR="005B16FE" w:rsidRPr="00FF6F51" w:rsidRDefault="005B16FE" w:rsidP="00DC0018">
            <w:pPr>
              <w:pStyle w:val="Default"/>
              <w:rPr>
                <w:rFonts w:ascii="Titillium" w:hAnsi="Titillium"/>
                <w:color w:val="auto"/>
                <w:sz w:val="20"/>
                <w:szCs w:val="20"/>
              </w:rPr>
            </w:pPr>
            <w:r w:rsidRPr="00FF6F51">
              <w:rPr>
                <w:rFonts w:ascii="Titillium" w:hAnsi="Titillium"/>
                <w:b/>
                <w:bCs/>
                <w:i/>
                <w:iCs/>
                <w:color w:val="auto"/>
                <w:sz w:val="20"/>
                <w:szCs w:val="20"/>
              </w:rPr>
              <w:t xml:space="preserve">Laterizi </w:t>
            </w:r>
            <w:r w:rsidRPr="00FF6F51">
              <w:rPr>
                <w:rFonts w:ascii="Titillium" w:hAnsi="Titillium"/>
                <w:color w:val="auto"/>
                <w:sz w:val="20"/>
                <w:szCs w:val="20"/>
              </w:rPr>
              <w:t>- I laterizi usati per muratura e solai devono avere un contenuto di materie riciclate e/o recuperate (sul secco) di almeno il 10% sul peso del prodotto. Qualora i laterizi contengano, oltre a materia riciclate e/o recuperate, anche sottoprodotti e/o terre e rocce da scavo, la percentuale deve essere di almeno il 15% sul peso del prodotto. I laterizi per coperture, pavimenti e muratura faccia vista devono avere un contenuto di materie riciclate e/o recuperate (sul secco) di almeno il 5% sul peso del prodotto. Qualora i laterizi contengano, oltre a materia riciclate e/o recuperate, anche sottoprodotti e/o terre e rocce da scavo, la percentuale deve essere di almeno il 7,5% sul peso del prodotto. Al fine del calcolo della massa di materiale riciclato va considerata la quantità che rimane effettivamente nel prodotto finale</w:t>
            </w:r>
            <w:r w:rsidRPr="00FF6F51">
              <w:rPr>
                <w:rFonts w:ascii="Titillium" w:hAnsi="Titillium"/>
              </w:rPr>
              <w:t>.</w:t>
            </w:r>
          </w:p>
        </w:tc>
        <w:tc>
          <w:tcPr>
            <w:tcW w:w="535" w:type="pct"/>
          </w:tcPr>
          <w:p w14:paraId="40708A87" w14:textId="77777777" w:rsidR="005B16FE" w:rsidRPr="00FF6F51" w:rsidRDefault="005B16FE" w:rsidP="00DC0018">
            <w:pPr>
              <w:pStyle w:val="Default"/>
              <w:rPr>
                <w:rFonts w:ascii="Titillium" w:hAnsi="Titillium"/>
                <w:b/>
                <w:bCs/>
                <w:i/>
                <w:iCs/>
                <w:color w:val="auto"/>
                <w:sz w:val="20"/>
                <w:szCs w:val="20"/>
              </w:rPr>
            </w:pPr>
          </w:p>
        </w:tc>
        <w:tc>
          <w:tcPr>
            <w:tcW w:w="1538" w:type="pct"/>
          </w:tcPr>
          <w:p w14:paraId="387F3C47" w14:textId="77777777" w:rsidR="005B16FE" w:rsidRPr="00FF6F51" w:rsidRDefault="005B16FE" w:rsidP="00DC0018">
            <w:pPr>
              <w:pStyle w:val="Default"/>
              <w:rPr>
                <w:rFonts w:ascii="Titillium" w:hAnsi="Titillium"/>
                <w:b/>
                <w:bCs/>
                <w:i/>
                <w:iCs/>
                <w:color w:val="auto"/>
                <w:sz w:val="20"/>
                <w:szCs w:val="20"/>
              </w:rPr>
            </w:pPr>
          </w:p>
        </w:tc>
      </w:tr>
      <w:tr w:rsidR="005B16FE" w:rsidRPr="00FF6F51" w14:paraId="46170F70" w14:textId="77777777" w:rsidTr="00443306">
        <w:trPr>
          <w:trHeight w:val="274"/>
        </w:trPr>
        <w:tc>
          <w:tcPr>
            <w:tcW w:w="385" w:type="pct"/>
            <w:vAlign w:val="center"/>
          </w:tcPr>
          <w:p w14:paraId="7DA74672" w14:textId="77777777" w:rsidR="005B16FE" w:rsidRPr="00FF6F51" w:rsidRDefault="005B16FE" w:rsidP="00DC0018">
            <w:pPr>
              <w:pStyle w:val="Default"/>
              <w:jc w:val="center"/>
              <w:rPr>
                <w:rFonts w:ascii="Titillium" w:hAnsi="Titillium"/>
                <w:color w:val="auto"/>
                <w:sz w:val="20"/>
                <w:szCs w:val="20"/>
              </w:rPr>
            </w:pPr>
            <w:r w:rsidRPr="00FF6F51">
              <w:rPr>
                <w:rFonts w:ascii="Titillium" w:hAnsi="Titillium"/>
                <w:color w:val="auto"/>
                <w:sz w:val="20"/>
                <w:szCs w:val="20"/>
              </w:rPr>
              <w:t>24</w:t>
            </w:r>
          </w:p>
        </w:tc>
        <w:tc>
          <w:tcPr>
            <w:tcW w:w="2542" w:type="pct"/>
            <w:vAlign w:val="center"/>
          </w:tcPr>
          <w:p w14:paraId="15466C9E" w14:textId="77777777" w:rsidR="005B16FE" w:rsidRPr="00FF6F51" w:rsidRDefault="005B16FE" w:rsidP="00DC0018">
            <w:pPr>
              <w:pStyle w:val="Default"/>
              <w:rPr>
                <w:rFonts w:ascii="Titillium" w:hAnsi="Titillium"/>
                <w:color w:val="auto"/>
                <w:sz w:val="20"/>
                <w:szCs w:val="20"/>
              </w:rPr>
            </w:pPr>
            <w:r w:rsidRPr="00FF6F51">
              <w:rPr>
                <w:rFonts w:ascii="Titillium" w:hAnsi="Titillium"/>
                <w:b/>
                <w:bCs/>
                <w:i/>
                <w:iCs/>
                <w:color w:val="auto"/>
                <w:sz w:val="20"/>
                <w:szCs w:val="20"/>
              </w:rPr>
              <w:t>Sostenibilità e legalità del legno</w:t>
            </w:r>
            <w:r w:rsidRPr="00FF6F51">
              <w:rPr>
                <w:rFonts w:ascii="Titillium" w:hAnsi="Titillium"/>
                <w:color w:val="auto"/>
                <w:sz w:val="20"/>
                <w:szCs w:val="20"/>
              </w:rPr>
              <w:t xml:space="preserve"> - Per materiali e i prodotti costituiti di legno o in materiale a base di legno, o contenenti elementi di origine legnosa, il materiale deve provenire da boschi/foreste gestiti in maniera sostenibile/responsabile o essere costituito da legno riciclato o un insieme dei due.</w:t>
            </w:r>
          </w:p>
        </w:tc>
        <w:tc>
          <w:tcPr>
            <w:tcW w:w="535" w:type="pct"/>
          </w:tcPr>
          <w:p w14:paraId="49C19DC6" w14:textId="77777777" w:rsidR="005B16FE" w:rsidRPr="00FF6F51" w:rsidRDefault="005B16FE" w:rsidP="00DC0018">
            <w:pPr>
              <w:pStyle w:val="Default"/>
              <w:rPr>
                <w:rFonts w:ascii="Titillium" w:hAnsi="Titillium"/>
                <w:b/>
                <w:bCs/>
                <w:i/>
                <w:iCs/>
                <w:color w:val="auto"/>
                <w:sz w:val="20"/>
                <w:szCs w:val="20"/>
              </w:rPr>
            </w:pPr>
          </w:p>
        </w:tc>
        <w:tc>
          <w:tcPr>
            <w:tcW w:w="1538" w:type="pct"/>
          </w:tcPr>
          <w:p w14:paraId="23CE8D7F" w14:textId="77777777" w:rsidR="005B16FE" w:rsidRPr="00FF6F51" w:rsidRDefault="005B16FE" w:rsidP="00DC0018">
            <w:pPr>
              <w:pStyle w:val="Default"/>
              <w:rPr>
                <w:rFonts w:ascii="Titillium" w:hAnsi="Titillium"/>
                <w:b/>
                <w:bCs/>
                <w:i/>
                <w:iCs/>
                <w:color w:val="auto"/>
                <w:sz w:val="20"/>
                <w:szCs w:val="20"/>
              </w:rPr>
            </w:pPr>
          </w:p>
        </w:tc>
      </w:tr>
      <w:tr w:rsidR="005B16FE" w:rsidRPr="00FF6F51" w14:paraId="215E3AFF" w14:textId="77777777" w:rsidTr="00443306">
        <w:trPr>
          <w:trHeight w:val="274"/>
        </w:trPr>
        <w:tc>
          <w:tcPr>
            <w:tcW w:w="385" w:type="pct"/>
            <w:vAlign w:val="center"/>
          </w:tcPr>
          <w:p w14:paraId="7DB80E68" w14:textId="77777777" w:rsidR="005B16FE" w:rsidRPr="00FF6F51" w:rsidRDefault="005B16FE" w:rsidP="00DC0018">
            <w:pPr>
              <w:pStyle w:val="Default"/>
              <w:jc w:val="center"/>
              <w:rPr>
                <w:rFonts w:ascii="Titillium" w:hAnsi="Titillium"/>
                <w:color w:val="auto"/>
                <w:sz w:val="20"/>
                <w:szCs w:val="20"/>
              </w:rPr>
            </w:pPr>
            <w:r w:rsidRPr="00FF6F51">
              <w:rPr>
                <w:rFonts w:ascii="Titillium" w:hAnsi="Titillium"/>
                <w:color w:val="auto"/>
                <w:sz w:val="20"/>
                <w:szCs w:val="20"/>
              </w:rPr>
              <w:t>25</w:t>
            </w:r>
          </w:p>
        </w:tc>
        <w:tc>
          <w:tcPr>
            <w:tcW w:w="2542" w:type="pct"/>
            <w:vAlign w:val="center"/>
          </w:tcPr>
          <w:p w14:paraId="190D9A01" w14:textId="77777777" w:rsidR="005B16FE" w:rsidRPr="00FF6F51" w:rsidRDefault="005B16FE" w:rsidP="00DC0018">
            <w:pPr>
              <w:pStyle w:val="Default"/>
              <w:rPr>
                <w:rFonts w:ascii="Titillium" w:hAnsi="Titillium"/>
                <w:color w:val="auto"/>
                <w:sz w:val="20"/>
                <w:szCs w:val="20"/>
              </w:rPr>
            </w:pPr>
            <w:r w:rsidRPr="00FF6F51">
              <w:rPr>
                <w:rFonts w:ascii="Titillium" w:hAnsi="Titillium"/>
                <w:b/>
                <w:bCs/>
                <w:i/>
                <w:iCs/>
                <w:color w:val="auto"/>
                <w:sz w:val="20"/>
                <w:szCs w:val="20"/>
              </w:rPr>
              <w:t>Ghisa, ferro, acciaio</w:t>
            </w:r>
            <w:r w:rsidRPr="00FF6F51">
              <w:rPr>
                <w:rFonts w:ascii="Titillium" w:hAnsi="Titillium"/>
                <w:color w:val="auto"/>
                <w:sz w:val="20"/>
                <w:szCs w:val="20"/>
              </w:rPr>
              <w:t xml:space="preserve"> - Per gli usi strutturali deve essere utilizzato acciaio prodotto con un contenuto minimo di materiale riciclato come di seguito specificato in base al tipo di processo industriale: </w:t>
            </w:r>
          </w:p>
          <w:p w14:paraId="39D9D355" w14:textId="77777777" w:rsidR="005B16FE" w:rsidRPr="00FF6F51" w:rsidRDefault="005B16FE" w:rsidP="00DC0018">
            <w:pPr>
              <w:pStyle w:val="Default"/>
              <w:numPr>
                <w:ilvl w:val="0"/>
                <w:numId w:val="15"/>
              </w:numPr>
              <w:rPr>
                <w:rFonts w:ascii="Titillium" w:hAnsi="Titillium"/>
                <w:color w:val="auto"/>
                <w:sz w:val="20"/>
                <w:szCs w:val="20"/>
              </w:rPr>
            </w:pPr>
            <w:r w:rsidRPr="00FF6F51">
              <w:rPr>
                <w:rFonts w:ascii="Titillium" w:hAnsi="Titillium"/>
                <w:color w:val="auto"/>
                <w:sz w:val="20"/>
                <w:szCs w:val="20"/>
              </w:rPr>
              <w:t xml:space="preserve">acciaio da forno elettrico: contenuto minimo di materiale riciclato pari al 70%. </w:t>
            </w:r>
          </w:p>
          <w:p w14:paraId="748D3BD8" w14:textId="77777777" w:rsidR="005B16FE" w:rsidRPr="00FF6F51" w:rsidRDefault="005B16FE" w:rsidP="00DC0018">
            <w:pPr>
              <w:pStyle w:val="Default"/>
              <w:numPr>
                <w:ilvl w:val="0"/>
                <w:numId w:val="15"/>
              </w:numPr>
              <w:rPr>
                <w:rFonts w:ascii="Titillium" w:hAnsi="Titillium"/>
                <w:color w:val="auto"/>
                <w:sz w:val="20"/>
                <w:szCs w:val="20"/>
              </w:rPr>
            </w:pPr>
            <w:r w:rsidRPr="00FF6F51">
              <w:rPr>
                <w:rFonts w:ascii="Titillium" w:hAnsi="Titillium"/>
                <w:color w:val="auto"/>
                <w:sz w:val="20"/>
                <w:szCs w:val="20"/>
              </w:rPr>
              <w:t>acciaio da ciclo integrale: contenuto minimo di materiale riciclato pari al 10%.</w:t>
            </w:r>
          </w:p>
        </w:tc>
        <w:tc>
          <w:tcPr>
            <w:tcW w:w="535" w:type="pct"/>
          </w:tcPr>
          <w:p w14:paraId="693DB0BF" w14:textId="77777777" w:rsidR="005B16FE" w:rsidRPr="00FF6F51" w:rsidRDefault="005B16FE" w:rsidP="00DC0018">
            <w:pPr>
              <w:pStyle w:val="Default"/>
              <w:rPr>
                <w:rFonts w:ascii="Titillium" w:hAnsi="Titillium"/>
                <w:b/>
                <w:bCs/>
                <w:i/>
                <w:iCs/>
                <w:color w:val="auto"/>
                <w:sz w:val="20"/>
                <w:szCs w:val="20"/>
              </w:rPr>
            </w:pPr>
          </w:p>
        </w:tc>
        <w:tc>
          <w:tcPr>
            <w:tcW w:w="1538" w:type="pct"/>
          </w:tcPr>
          <w:p w14:paraId="7EB28326" w14:textId="77777777" w:rsidR="005B16FE" w:rsidRPr="00FF6F51" w:rsidRDefault="005B16FE" w:rsidP="00DC0018">
            <w:pPr>
              <w:pStyle w:val="Default"/>
              <w:rPr>
                <w:rFonts w:ascii="Titillium" w:hAnsi="Titillium"/>
                <w:b/>
                <w:bCs/>
                <w:i/>
                <w:iCs/>
                <w:color w:val="auto"/>
                <w:sz w:val="20"/>
                <w:szCs w:val="20"/>
              </w:rPr>
            </w:pPr>
          </w:p>
        </w:tc>
      </w:tr>
      <w:tr w:rsidR="005B16FE" w:rsidRPr="00FF6F51" w14:paraId="3132F03F" w14:textId="77777777" w:rsidTr="00443306">
        <w:trPr>
          <w:trHeight w:val="274"/>
        </w:trPr>
        <w:tc>
          <w:tcPr>
            <w:tcW w:w="385" w:type="pct"/>
            <w:vAlign w:val="center"/>
          </w:tcPr>
          <w:p w14:paraId="370A1B95" w14:textId="77777777" w:rsidR="005B16FE" w:rsidRPr="00FF6F51" w:rsidRDefault="005B16FE" w:rsidP="00DC0018">
            <w:pPr>
              <w:pStyle w:val="Default"/>
              <w:jc w:val="center"/>
              <w:rPr>
                <w:rFonts w:ascii="Titillium" w:hAnsi="Titillium"/>
                <w:color w:val="auto"/>
                <w:sz w:val="20"/>
                <w:szCs w:val="20"/>
              </w:rPr>
            </w:pPr>
            <w:r w:rsidRPr="00FF6F51">
              <w:rPr>
                <w:rFonts w:ascii="Titillium" w:hAnsi="Titillium"/>
                <w:color w:val="auto"/>
                <w:sz w:val="20"/>
                <w:szCs w:val="20"/>
              </w:rPr>
              <w:t>26</w:t>
            </w:r>
          </w:p>
        </w:tc>
        <w:tc>
          <w:tcPr>
            <w:tcW w:w="2542" w:type="pct"/>
            <w:vAlign w:val="center"/>
          </w:tcPr>
          <w:p w14:paraId="19D0FFE5" w14:textId="77777777" w:rsidR="005B16FE" w:rsidRPr="00FF6F51" w:rsidRDefault="005B16FE" w:rsidP="00DC0018">
            <w:pPr>
              <w:pStyle w:val="Default"/>
              <w:rPr>
                <w:rFonts w:ascii="Titillium" w:hAnsi="Titillium"/>
                <w:color w:val="auto"/>
                <w:sz w:val="20"/>
                <w:szCs w:val="20"/>
              </w:rPr>
            </w:pPr>
            <w:r w:rsidRPr="00FF6F51">
              <w:rPr>
                <w:rFonts w:ascii="Titillium" w:hAnsi="Titillium"/>
                <w:b/>
                <w:bCs/>
                <w:i/>
                <w:iCs/>
                <w:color w:val="auto"/>
                <w:sz w:val="20"/>
                <w:szCs w:val="20"/>
              </w:rPr>
              <w:t>Componenti in materie plastiche</w:t>
            </w:r>
            <w:r w:rsidRPr="00FF6F51">
              <w:rPr>
                <w:rFonts w:ascii="Titillium" w:hAnsi="Titillium"/>
                <w:color w:val="auto"/>
                <w:sz w:val="20"/>
                <w:szCs w:val="20"/>
              </w:rPr>
              <w:t xml:space="preserve"> - Il contenuto di materia riciclata o recuperata deve essere pari ad almeno il 30% in </w:t>
            </w:r>
            <w:r w:rsidRPr="00FF6F51">
              <w:rPr>
                <w:rFonts w:ascii="Titillium" w:hAnsi="Titillium"/>
                <w:color w:val="auto"/>
                <w:sz w:val="20"/>
                <w:szCs w:val="20"/>
              </w:rPr>
              <w:lastRenderedPageBreak/>
              <w:t xml:space="preserve">peso valutato sul totale di tutti i componenti in materia plastica utilizzati. Il suddetto requisito può essere derogato nel caso in cui il componente impiegato rientri contemporaneamente nelle due casistiche sotto riportate: </w:t>
            </w:r>
          </w:p>
          <w:p w14:paraId="01F5A2BA" w14:textId="77777777" w:rsidR="005B16FE" w:rsidRPr="00FF6F51" w:rsidRDefault="005B16FE" w:rsidP="00DC0018">
            <w:pPr>
              <w:pStyle w:val="Default"/>
              <w:numPr>
                <w:ilvl w:val="0"/>
                <w:numId w:val="16"/>
              </w:numPr>
              <w:rPr>
                <w:rFonts w:ascii="Titillium" w:hAnsi="Titillium"/>
                <w:color w:val="auto"/>
                <w:sz w:val="20"/>
                <w:szCs w:val="20"/>
              </w:rPr>
            </w:pPr>
            <w:r w:rsidRPr="00FF6F51">
              <w:rPr>
                <w:rFonts w:ascii="Titillium" w:hAnsi="Titillium"/>
                <w:color w:val="auto"/>
                <w:sz w:val="20"/>
                <w:szCs w:val="20"/>
              </w:rPr>
              <w:t xml:space="preserve">abbia una specifica funzione di protezione dell’edificio da agenti esterni quali ad esempio acque meteoriche (membrane per impermeabilizzazione) </w:t>
            </w:r>
          </w:p>
          <w:p w14:paraId="47706554" w14:textId="77777777" w:rsidR="005B16FE" w:rsidRPr="00FF6F51" w:rsidRDefault="005B16FE" w:rsidP="00DC0018">
            <w:pPr>
              <w:pStyle w:val="Default"/>
              <w:numPr>
                <w:ilvl w:val="0"/>
                <w:numId w:val="16"/>
              </w:numPr>
              <w:rPr>
                <w:rFonts w:ascii="Titillium" w:hAnsi="Titillium"/>
                <w:color w:val="auto"/>
                <w:sz w:val="20"/>
                <w:szCs w:val="20"/>
              </w:rPr>
            </w:pPr>
            <w:r w:rsidRPr="00FF6F51">
              <w:rPr>
                <w:rFonts w:ascii="Titillium" w:hAnsi="Titillium"/>
                <w:color w:val="auto"/>
                <w:sz w:val="20"/>
                <w:szCs w:val="20"/>
              </w:rPr>
              <w:t>sussistano specifici obblighi di legge relativi a garanzie minime di durabilità legate alla suddetta funzione.</w:t>
            </w:r>
          </w:p>
        </w:tc>
        <w:tc>
          <w:tcPr>
            <w:tcW w:w="535" w:type="pct"/>
          </w:tcPr>
          <w:p w14:paraId="3DEC245B" w14:textId="77777777" w:rsidR="005B16FE" w:rsidRPr="00FF6F51" w:rsidRDefault="005B16FE" w:rsidP="00DC0018">
            <w:pPr>
              <w:pStyle w:val="Default"/>
              <w:rPr>
                <w:rFonts w:ascii="Titillium" w:hAnsi="Titillium"/>
                <w:b/>
                <w:bCs/>
                <w:i/>
                <w:iCs/>
                <w:color w:val="auto"/>
                <w:sz w:val="20"/>
                <w:szCs w:val="20"/>
              </w:rPr>
            </w:pPr>
          </w:p>
        </w:tc>
        <w:tc>
          <w:tcPr>
            <w:tcW w:w="1538" w:type="pct"/>
          </w:tcPr>
          <w:p w14:paraId="273B8390" w14:textId="77777777" w:rsidR="005B16FE" w:rsidRPr="00FF6F51" w:rsidRDefault="005B16FE" w:rsidP="00DC0018">
            <w:pPr>
              <w:pStyle w:val="Default"/>
              <w:rPr>
                <w:rFonts w:ascii="Titillium" w:hAnsi="Titillium"/>
                <w:b/>
                <w:bCs/>
                <w:i/>
                <w:iCs/>
                <w:color w:val="auto"/>
                <w:sz w:val="20"/>
                <w:szCs w:val="20"/>
              </w:rPr>
            </w:pPr>
          </w:p>
        </w:tc>
      </w:tr>
      <w:tr w:rsidR="005B16FE" w:rsidRPr="00FF6F51" w14:paraId="616F7336" w14:textId="77777777" w:rsidTr="00443306">
        <w:trPr>
          <w:trHeight w:val="274"/>
        </w:trPr>
        <w:tc>
          <w:tcPr>
            <w:tcW w:w="385" w:type="pct"/>
            <w:vAlign w:val="center"/>
          </w:tcPr>
          <w:p w14:paraId="0A377EED" w14:textId="77777777" w:rsidR="005B16FE" w:rsidRPr="00FF6F51" w:rsidRDefault="005B16FE" w:rsidP="00DC0018">
            <w:pPr>
              <w:pStyle w:val="Default"/>
              <w:jc w:val="center"/>
              <w:rPr>
                <w:rFonts w:ascii="Titillium" w:hAnsi="Titillium"/>
                <w:color w:val="auto"/>
                <w:sz w:val="20"/>
                <w:szCs w:val="20"/>
              </w:rPr>
            </w:pPr>
            <w:r w:rsidRPr="00FF6F51">
              <w:rPr>
                <w:rFonts w:ascii="Titillium" w:hAnsi="Titillium"/>
                <w:color w:val="auto"/>
                <w:sz w:val="20"/>
                <w:szCs w:val="20"/>
              </w:rPr>
              <w:t>27</w:t>
            </w:r>
          </w:p>
        </w:tc>
        <w:tc>
          <w:tcPr>
            <w:tcW w:w="2542" w:type="pct"/>
            <w:vAlign w:val="center"/>
          </w:tcPr>
          <w:p w14:paraId="0E0CFC01" w14:textId="77777777" w:rsidR="005B16FE" w:rsidRPr="00FF6F51" w:rsidRDefault="005B16FE" w:rsidP="00DC0018">
            <w:pPr>
              <w:pStyle w:val="Default"/>
              <w:rPr>
                <w:rFonts w:ascii="Titillium" w:hAnsi="Titillium"/>
                <w:color w:val="auto"/>
                <w:sz w:val="20"/>
                <w:szCs w:val="20"/>
              </w:rPr>
            </w:pPr>
            <w:r w:rsidRPr="00FF6F51">
              <w:rPr>
                <w:rFonts w:ascii="Titillium" w:hAnsi="Titillium"/>
                <w:b/>
                <w:bCs/>
                <w:i/>
                <w:iCs/>
                <w:color w:val="auto"/>
                <w:sz w:val="20"/>
                <w:szCs w:val="20"/>
              </w:rPr>
              <w:t xml:space="preserve">Murature in pietrame e miste </w:t>
            </w:r>
            <w:r w:rsidRPr="00FF6F51">
              <w:rPr>
                <w:rFonts w:ascii="Titillium" w:hAnsi="Titillium"/>
                <w:color w:val="auto"/>
                <w:sz w:val="20"/>
                <w:szCs w:val="20"/>
              </w:rPr>
              <w:t>- Per le murature per opere di fondazione e opere in elevazione il progettista deve prescrivere l’uso di solo materiale di recupero (pietrame e blocchetti).</w:t>
            </w:r>
          </w:p>
        </w:tc>
        <w:tc>
          <w:tcPr>
            <w:tcW w:w="535" w:type="pct"/>
          </w:tcPr>
          <w:p w14:paraId="232C64CB" w14:textId="77777777" w:rsidR="005B16FE" w:rsidRPr="00FF6F51" w:rsidRDefault="005B16FE" w:rsidP="00DC0018">
            <w:pPr>
              <w:pStyle w:val="Default"/>
              <w:rPr>
                <w:rFonts w:ascii="Titillium" w:hAnsi="Titillium"/>
                <w:b/>
                <w:bCs/>
                <w:i/>
                <w:iCs/>
                <w:color w:val="auto"/>
                <w:sz w:val="20"/>
                <w:szCs w:val="20"/>
              </w:rPr>
            </w:pPr>
          </w:p>
        </w:tc>
        <w:tc>
          <w:tcPr>
            <w:tcW w:w="1538" w:type="pct"/>
          </w:tcPr>
          <w:p w14:paraId="79237C96" w14:textId="77777777" w:rsidR="005B16FE" w:rsidRPr="00FF6F51" w:rsidRDefault="005B16FE" w:rsidP="00DC0018">
            <w:pPr>
              <w:pStyle w:val="Default"/>
              <w:rPr>
                <w:rFonts w:ascii="Titillium" w:hAnsi="Titillium"/>
                <w:b/>
                <w:bCs/>
                <w:i/>
                <w:iCs/>
                <w:color w:val="auto"/>
                <w:sz w:val="20"/>
                <w:szCs w:val="20"/>
              </w:rPr>
            </w:pPr>
          </w:p>
        </w:tc>
      </w:tr>
      <w:tr w:rsidR="005B16FE" w:rsidRPr="00FF6F51" w14:paraId="3647437D" w14:textId="77777777" w:rsidTr="00443306">
        <w:trPr>
          <w:trHeight w:val="274"/>
        </w:trPr>
        <w:tc>
          <w:tcPr>
            <w:tcW w:w="385" w:type="pct"/>
            <w:vAlign w:val="center"/>
          </w:tcPr>
          <w:p w14:paraId="0BA3CE0A" w14:textId="77777777" w:rsidR="005B16FE" w:rsidRPr="00FF6F51" w:rsidRDefault="005B16FE" w:rsidP="00DC0018">
            <w:pPr>
              <w:pStyle w:val="Default"/>
              <w:jc w:val="center"/>
              <w:rPr>
                <w:rFonts w:ascii="Titillium" w:hAnsi="Titillium"/>
                <w:color w:val="auto"/>
                <w:sz w:val="20"/>
                <w:szCs w:val="20"/>
              </w:rPr>
            </w:pPr>
            <w:r w:rsidRPr="00FF6F51">
              <w:rPr>
                <w:rFonts w:ascii="Titillium" w:hAnsi="Titillium"/>
                <w:color w:val="auto"/>
                <w:sz w:val="20"/>
                <w:szCs w:val="20"/>
              </w:rPr>
              <w:t>28</w:t>
            </w:r>
          </w:p>
        </w:tc>
        <w:tc>
          <w:tcPr>
            <w:tcW w:w="2542" w:type="pct"/>
            <w:vAlign w:val="center"/>
          </w:tcPr>
          <w:p w14:paraId="26240CEF" w14:textId="77777777" w:rsidR="005B16FE" w:rsidRPr="00FF6F51" w:rsidRDefault="005B16FE" w:rsidP="00DC0018">
            <w:pPr>
              <w:pStyle w:val="Default"/>
              <w:rPr>
                <w:rFonts w:ascii="Titillium" w:hAnsi="Titillium"/>
                <w:color w:val="auto"/>
                <w:sz w:val="20"/>
                <w:szCs w:val="20"/>
              </w:rPr>
            </w:pPr>
            <w:r w:rsidRPr="00FF6F51">
              <w:rPr>
                <w:rFonts w:ascii="Titillium" w:hAnsi="Titillium"/>
                <w:b/>
                <w:bCs/>
                <w:i/>
                <w:iCs/>
                <w:color w:val="auto"/>
                <w:sz w:val="20"/>
                <w:szCs w:val="20"/>
              </w:rPr>
              <w:t>Tramezzature e controsoffitti</w:t>
            </w:r>
            <w:r w:rsidRPr="00FF6F51">
              <w:rPr>
                <w:rFonts w:ascii="Titillium" w:hAnsi="Titillium"/>
                <w:color w:val="auto"/>
                <w:sz w:val="20"/>
                <w:szCs w:val="20"/>
              </w:rPr>
              <w:t xml:space="preserve"> - Le tramezzature e i controsoffitti, destinati alla posa in opera di sistemi a secco devono avere un contenuto di almeno il 5% in peso di materie riciclate e/o recuperate e/o di sottoprodotti</w:t>
            </w:r>
            <w:r w:rsidRPr="00FF6F51">
              <w:rPr>
                <w:rFonts w:ascii="Titillium" w:hAnsi="Titillium"/>
              </w:rPr>
              <w:t>.</w:t>
            </w:r>
            <w:r w:rsidRPr="00FF6F51">
              <w:rPr>
                <w:rFonts w:ascii="Titillium" w:hAnsi="Titillium"/>
                <w:color w:val="auto"/>
                <w:sz w:val="20"/>
                <w:szCs w:val="20"/>
              </w:rPr>
              <w:t xml:space="preserve"> </w:t>
            </w:r>
          </w:p>
        </w:tc>
        <w:tc>
          <w:tcPr>
            <w:tcW w:w="535" w:type="pct"/>
          </w:tcPr>
          <w:p w14:paraId="5010E23F" w14:textId="77777777" w:rsidR="005B16FE" w:rsidRPr="00FF6F51" w:rsidRDefault="005B16FE" w:rsidP="00DC0018">
            <w:pPr>
              <w:pStyle w:val="Default"/>
              <w:rPr>
                <w:rFonts w:ascii="Titillium" w:hAnsi="Titillium"/>
                <w:b/>
                <w:bCs/>
                <w:i/>
                <w:iCs/>
                <w:color w:val="auto"/>
                <w:sz w:val="20"/>
                <w:szCs w:val="20"/>
              </w:rPr>
            </w:pPr>
          </w:p>
        </w:tc>
        <w:tc>
          <w:tcPr>
            <w:tcW w:w="1538" w:type="pct"/>
          </w:tcPr>
          <w:p w14:paraId="32C47848" w14:textId="77777777" w:rsidR="005B16FE" w:rsidRPr="00FF6F51" w:rsidRDefault="005B16FE" w:rsidP="00DC0018">
            <w:pPr>
              <w:pStyle w:val="Default"/>
              <w:rPr>
                <w:rFonts w:ascii="Titillium" w:hAnsi="Titillium"/>
                <w:b/>
                <w:bCs/>
                <w:i/>
                <w:iCs/>
                <w:color w:val="auto"/>
                <w:sz w:val="20"/>
                <w:szCs w:val="20"/>
              </w:rPr>
            </w:pPr>
          </w:p>
        </w:tc>
      </w:tr>
      <w:tr w:rsidR="005B16FE" w:rsidRPr="00FF6F51" w14:paraId="764797FC" w14:textId="77777777" w:rsidTr="00443306">
        <w:trPr>
          <w:trHeight w:val="274"/>
        </w:trPr>
        <w:tc>
          <w:tcPr>
            <w:tcW w:w="385" w:type="pct"/>
            <w:vAlign w:val="center"/>
          </w:tcPr>
          <w:p w14:paraId="66F4EA60" w14:textId="77777777" w:rsidR="005B16FE" w:rsidRPr="00FF6F51" w:rsidRDefault="005B16FE" w:rsidP="00DC0018">
            <w:pPr>
              <w:pStyle w:val="Default"/>
              <w:jc w:val="center"/>
              <w:rPr>
                <w:rFonts w:ascii="Titillium" w:hAnsi="Titillium"/>
                <w:color w:val="auto"/>
                <w:sz w:val="20"/>
                <w:szCs w:val="20"/>
              </w:rPr>
            </w:pPr>
            <w:r w:rsidRPr="00FF6F51">
              <w:rPr>
                <w:rFonts w:ascii="Titillium" w:hAnsi="Titillium"/>
                <w:color w:val="auto"/>
                <w:sz w:val="20"/>
                <w:szCs w:val="20"/>
              </w:rPr>
              <w:t>29</w:t>
            </w:r>
          </w:p>
        </w:tc>
        <w:tc>
          <w:tcPr>
            <w:tcW w:w="2542" w:type="pct"/>
            <w:vAlign w:val="center"/>
          </w:tcPr>
          <w:p w14:paraId="5CD04827" w14:textId="77777777" w:rsidR="005B16FE" w:rsidRPr="00FF6F51" w:rsidRDefault="005B16FE" w:rsidP="00DC0018">
            <w:pPr>
              <w:pStyle w:val="Default"/>
              <w:rPr>
                <w:rFonts w:ascii="Titillium" w:hAnsi="Titillium"/>
                <w:color w:val="auto"/>
                <w:sz w:val="20"/>
                <w:szCs w:val="20"/>
              </w:rPr>
            </w:pPr>
            <w:r w:rsidRPr="00FF6F51">
              <w:rPr>
                <w:rFonts w:ascii="Titillium" w:hAnsi="Titillium"/>
                <w:b/>
                <w:bCs/>
                <w:i/>
                <w:iCs/>
                <w:color w:val="auto"/>
                <w:sz w:val="20"/>
                <w:szCs w:val="20"/>
              </w:rPr>
              <w:t>Isolanti termici ed acustici</w:t>
            </w:r>
            <w:r w:rsidRPr="00FF6F51">
              <w:rPr>
                <w:rFonts w:ascii="Titillium" w:hAnsi="Titillium"/>
                <w:color w:val="auto"/>
                <w:sz w:val="20"/>
                <w:szCs w:val="20"/>
              </w:rPr>
              <w:t xml:space="preserve"> - Gli isolanti utilizzati devono rispettare i seguenti criteri: </w:t>
            </w:r>
          </w:p>
          <w:p w14:paraId="3D6CF3DC" w14:textId="77777777" w:rsidR="005B16FE" w:rsidRPr="00FF6F51" w:rsidRDefault="005B16FE" w:rsidP="00DC0018">
            <w:pPr>
              <w:pStyle w:val="Default"/>
              <w:numPr>
                <w:ilvl w:val="0"/>
                <w:numId w:val="17"/>
              </w:numPr>
              <w:rPr>
                <w:rFonts w:ascii="Titillium" w:hAnsi="Titillium"/>
                <w:color w:val="auto"/>
                <w:sz w:val="20"/>
                <w:szCs w:val="20"/>
              </w:rPr>
            </w:pPr>
            <w:r w:rsidRPr="00FF6F51">
              <w:rPr>
                <w:rFonts w:ascii="Titillium" w:hAnsi="Titillium"/>
                <w:color w:val="auto"/>
                <w:sz w:val="20"/>
                <w:szCs w:val="20"/>
              </w:rPr>
              <w:t xml:space="preserve">non devono essere prodotti utilizzando ritardanti di fiamma che siano oggetto di restrizioni o proibizioni previste da normative nazionali o comunitarie applicabili; </w:t>
            </w:r>
          </w:p>
          <w:p w14:paraId="17D403C9" w14:textId="77777777" w:rsidR="005B16FE" w:rsidRPr="00FF6F51" w:rsidRDefault="005B16FE" w:rsidP="00DC0018">
            <w:pPr>
              <w:pStyle w:val="Default"/>
              <w:numPr>
                <w:ilvl w:val="0"/>
                <w:numId w:val="17"/>
              </w:numPr>
              <w:rPr>
                <w:rFonts w:ascii="Titillium" w:hAnsi="Titillium"/>
                <w:color w:val="auto"/>
                <w:sz w:val="20"/>
                <w:szCs w:val="20"/>
              </w:rPr>
            </w:pPr>
            <w:r w:rsidRPr="00FF6F51">
              <w:rPr>
                <w:rFonts w:ascii="Titillium" w:hAnsi="Titillium"/>
                <w:color w:val="auto"/>
                <w:sz w:val="20"/>
                <w:szCs w:val="20"/>
              </w:rPr>
              <w:t xml:space="preserve">non devono essere prodotti con agenti espandenti con un potenziale di riduzione dell’ozono superiore a zero; </w:t>
            </w:r>
          </w:p>
          <w:p w14:paraId="3BA1E6B9" w14:textId="77777777" w:rsidR="005B16FE" w:rsidRPr="00FF6F51" w:rsidRDefault="005B16FE" w:rsidP="00DC0018">
            <w:pPr>
              <w:pStyle w:val="Default"/>
              <w:numPr>
                <w:ilvl w:val="0"/>
                <w:numId w:val="17"/>
              </w:numPr>
              <w:rPr>
                <w:rFonts w:ascii="Titillium" w:hAnsi="Titillium"/>
                <w:color w:val="auto"/>
                <w:sz w:val="20"/>
                <w:szCs w:val="20"/>
              </w:rPr>
            </w:pPr>
            <w:r w:rsidRPr="00FF6F51">
              <w:rPr>
                <w:rFonts w:ascii="Titillium" w:hAnsi="Titillium"/>
                <w:color w:val="auto"/>
                <w:sz w:val="20"/>
                <w:szCs w:val="20"/>
              </w:rPr>
              <w:t xml:space="preserve">non devono essere prodotti o formulati utilizzando catalizzatori al piombo quando spruzzati o nel corso della formazione della schiuma di plastica; </w:t>
            </w:r>
          </w:p>
          <w:p w14:paraId="4D1D2398" w14:textId="77777777" w:rsidR="005B16FE" w:rsidRPr="00FF6F51" w:rsidRDefault="005B16FE" w:rsidP="00DC0018">
            <w:pPr>
              <w:pStyle w:val="Default"/>
              <w:numPr>
                <w:ilvl w:val="0"/>
                <w:numId w:val="17"/>
              </w:numPr>
              <w:rPr>
                <w:rFonts w:ascii="Titillium" w:hAnsi="Titillium"/>
                <w:color w:val="auto"/>
                <w:sz w:val="20"/>
                <w:szCs w:val="20"/>
              </w:rPr>
            </w:pPr>
            <w:r w:rsidRPr="00FF6F51">
              <w:rPr>
                <w:rFonts w:ascii="Titillium" w:hAnsi="Titillium"/>
                <w:color w:val="auto"/>
                <w:sz w:val="20"/>
                <w:szCs w:val="20"/>
              </w:rPr>
              <w:t xml:space="preserve">se prodotti da una resina di polistirene espandibile gli agenti espandenti devono essere inferiori al 6% del peso del prodotto finito; se costituiti da lane minerali, queste devono essere conformi alla nota Q o alla nota R di cui al regolamento (CE) n. 1272/2008 (CLP) e </w:t>
            </w:r>
            <w:proofErr w:type="spellStart"/>
            <w:r w:rsidRPr="00FF6F51">
              <w:rPr>
                <w:rFonts w:ascii="Titillium" w:hAnsi="Titillium"/>
                <w:color w:val="auto"/>
                <w:sz w:val="20"/>
                <w:szCs w:val="20"/>
              </w:rPr>
              <w:t>s.m.i.</w:t>
            </w:r>
            <w:proofErr w:type="spellEnd"/>
            <w:r w:rsidRPr="00FF6F51">
              <w:rPr>
                <w:rFonts w:ascii="Titillium" w:hAnsi="Titillium"/>
                <w:color w:val="auto"/>
                <w:sz w:val="20"/>
                <w:szCs w:val="20"/>
              </w:rPr>
              <w:t>;</w:t>
            </w:r>
          </w:p>
          <w:p w14:paraId="71EB56A2" w14:textId="77777777" w:rsidR="005B16FE" w:rsidRPr="00FF6F51" w:rsidRDefault="005B16FE" w:rsidP="00DC0018">
            <w:pPr>
              <w:pStyle w:val="Default"/>
              <w:numPr>
                <w:ilvl w:val="0"/>
                <w:numId w:val="17"/>
              </w:numPr>
              <w:rPr>
                <w:rFonts w:ascii="Titillium" w:hAnsi="Titillium"/>
                <w:color w:val="auto"/>
                <w:sz w:val="20"/>
                <w:szCs w:val="20"/>
              </w:rPr>
            </w:pPr>
            <w:r w:rsidRPr="00FF6F51">
              <w:rPr>
                <w:rFonts w:ascii="Titillium" w:hAnsi="Titillium"/>
                <w:color w:val="auto"/>
                <w:sz w:val="20"/>
                <w:szCs w:val="20"/>
              </w:rPr>
              <w:t>se il prodotto finito contiene uno o più dei componenti elencati nella tabella al punto 2.4.2.9 del CAM Edilizia (</w:t>
            </w:r>
            <w:hyperlink r:id="rId13" w:history="1">
              <w:r w:rsidRPr="00FF6F51">
                <w:rPr>
                  <w:rStyle w:val="Collegamentoipertestuale"/>
                  <w:rFonts w:ascii="Titillium" w:hAnsi="Titillium"/>
                </w:rPr>
                <w:t>GU 259 CAMedilizia.pdf (mite.gov.it)</w:t>
              </w:r>
            </w:hyperlink>
            <w:r w:rsidRPr="00FF6F51">
              <w:rPr>
                <w:rFonts w:ascii="Titillium" w:hAnsi="Titillium"/>
              </w:rPr>
              <w:t>)</w:t>
            </w:r>
            <w:r w:rsidRPr="00FF6F51">
              <w:rPr>
                <w:rFonts w:ascii="Titillium" w:hAnsi="Titillium"/>
                <w:color w:val="auto"/>
                <w:sz w:val="20"/>
                <w:szCs w:val="20"/>
              </w:rPr>
              <w:t>, questi devono essere costituiti da materiale riciclato e/o recuperato secondo le quantità minime indicate, misurato sul peso del prodotto finito.</w:t>
            </w:r>
          </w:p>
        </w:tc>
        <w:tc>
          <w:tcPr>
            <w:tcW w:w="535" w:type="pct"/>
          </w:tcPr>
          <w:p w14:paraId="6C676B93" w14:textId="77777777" w:rsidR="005B16FE" w:rsidRPr="00FF6F51" w:rsidRDefault="005B16FE" w:rsidP="00DC0018">
            <w:pPr>
              <w:pStyle w:val="Default"/>
              <w:rPr>
                <w:rFonts w:ascii="Titillium" w:hAnsi="Titillium"/>
                <w:b/>
                <w:bCs/>
                <w:i/>
                <w:iCs/>
                <w:color w:val="auto"/>
                <w:sz w:val="20"/>
                <w:szCs w:val="20"/>
              </w:rPr>
            </w:pPr>
          </w:p>
        </w:tc>
        <w:tc>
          <w:tcPr>
            <w:tcW w:w="1538" w:type="pct"/>
          </w:tcPr>
          <w:p w14:paraId="5696E7CD" w14:textId="77777777" w:rsidR="005B16FE" w:rsidRPr="00FF6F51" w:rsidRDefault="005B16FE" w:rsidP="00DC0018">
            <w:pPr>
              <w:pStyle w:val="Default"/>
              <w:rPr>
                <w:rFonts w:ascii="Titillium" w:hAnsi="Titillium"/>
                <w:b/>
                <w:bCs/>
                <w:i/>
                <w:iCs/>
                <w:color w:val="auto"/>
                <w:sz w:val="20"/>
                <w:szCs w:val="20"/>
              </w:rPr>
            </w:pPr>
          </w:p>
        </w:tc>
      </w:tr>
      <w:tr w:rsidR="005B16FE" w:rsidRPr="00FF6F51" w14:paraId="03A5B7D6" w14:textId="77777777" w:rsidTr="00443306">
        <w:trPr>
          <w:trHeight w:val="274"/>
        </w:trPr>
        <w:tc>
          <w:tcPr>
            <w:tcW w:w="385" w:type="pct"/>
            <w:vAlign w:val="center"/>
          </w:tcPr>
          <w:p w14:paraId="339E89B2" w14:textId="77777777" w:rsidR="005B16FE" w:rsidRPr="00FF6F51" w:rsidRDefault="005B16FE" w:rsidP="00DC0018">
            <w:pPr>
              <w:pStyle w:val="Default"/>
              <w:jc w:val="center"/>
              <w:rPr>
                <w:rFonts w:ascii="Titillium" w:hAnsi="Titillium"/>
                <w:color w:val="auto"/>
                <w:sz w:val="20"/>
                <w:szCs w:val="20"/>
              </w:rPr>
            </w:pPr>
            <w:r w:rsidRPr="00FF6F51">
              <w:rPr>
                <w:rFonts w:ascii="Titillium" w:hAnsi="Titillium"/>
                <w:color w:val="auto"/>
                <w:sz w:val="20"/>
                <w:szCs w:val="20"/>
              </w:rPr>
              <w:t>30</w:t>
            </w:r>
          </w:p>
        </w:tc>
        <w:tc>
          <w:tcPr>
            <w:tcW w:w="2542" w:type="pct"/>
            <w:vAlign w:val="center"/>
          </w:tcPr>
          <w:p w14:paraId="641541E9" w14:textId="77777777" w:rsidR="005B16FE" w:rsidRPr="00FF6F51" w:rsidRDefault="005B16FE" w:rsidP="00DC0018">
            <w:pPr>
              <w:pStyle w:val="Default"/>
              <w:rPr>
                <w:rFonts w:ascii="Titillium" w:hAnsi="Titillium"/>
                <w:color w:val="auto"/>
                <w:sz w:val="20"/>
                <w:szCs w:val="20"/>
              </w:rPr>
            </w:pPr>
            <w:r w:rsidRPr="00FF6F51">
              <w:rPr>
                <w:rFonts w:ascii="Titillium" w:hAnsi="Titillium"/>
                <w:b/>
                <w:bCs/>
                <w:i/>
                <w:iCs/>
                <w:color w:val="auto"/>
                <w:sz w:val="20"/>
                <w:szCs w:val="20"/>
              </w:rPr>
              <w:t>Pavimentazione e rivestimenti</w:t>
            </w:r>
            <w:r w:rsidRPr="00FF6F51">
              <w:rPr>
                <w:rFonts w:ascii="Titillium" w:hAnsi="Titillium"/>
                <w:color w:val="auto"/>
                <w:sz w:val="20"/>
                <w:szCs w:val="20"/>
              </w:rPr>
              <w:t xml:space="preserve"> - I prodotti utilizzati per le pavimentazioni e i rivestimenti devono essere conformi ai </w:t>
            </w:r>
            <w:r w:rsidRPr="00FF6F51">
              <w:rPr>
                <w:rFonts w:ascii="Titillium" w:hAnsi="Titillium"/>
                <w:color w:val="auto"/>
                <w:sz w:val="20"/>
                <w:szCs w:val="20"/>
              </w:rPr>
              <w:lastRenderedPageBreak/>
              <w:t xml:space="preserve">criteri ecologici e prestazionali previsti dalle decisioni 2010/18/CE30, 2009/607/CE31 e 2009/967/CE32 e loro modifiche ed integrazioni, relative all’assegnazione del marchio comunitario di qualità ecologica. Per quanto riguarda le piastrelle di ceramica si considera comunque sufficiente il rispetto dei seguenti criteri selezionali dalla decisione 2009/607/CE: </w:t>
            </w:r>
          </w:p>
          <w:p w14:paraId="1E8E7617" w14:textId="77777777" w:rsidR="005B16FE" w:rsidRPr="00FF6F51" w:rsidRDefault="005B16FE" w:rsidP="00DC0018">
            <w:pPr>
              <w:pStyle w:val="Default"/>
              <w:rPr>
                <w:rFonts w:ascii="Titillium" w:hAnsi="Titillium"/>
                <w:color w:val="auto"/>
                <w:sz w:val="20"/>
                <w:szCs w:val="20"/>
              </w:rPr>
            </w:pPr>
            <w:r w:rsidRPr="00FF6F51">
              <w:rPr>
                <w:rFonts w:ascii="Titillium" w:hAnsi="Titillium"/>
                <w:color w:val="auto"/>
                <w:sz w:val="20"/>
                <w:szCs w:val="20"/>
              </w:rPr>
              <w:t xml:space="preserve">4.2. consumo e uso di acqua; </w:t>
            </w:r>
          </w:p>
          <w:p w14:paraId="5A552027" w14:textId="77777777" w:rsidR="005B16FE" w:rsidRPr="00FF6F51" w:rsidRDefault="005B16FE" w:rsidP="00DC0018">
            <w:pPr>
              <w:pStyle w:val="Default"/>
              <w:rPr>
                <w:rFonts w:ascii="Titillium" w:hAnsi="Titillium"/>
                <w:color w:val="auto"/>
                <w:sz w:val="20"/>
                <w:szCs w:val="20"/>
              </w:rPr>
            </w:pPr>
            <w:r w:rsidRPr="00FF6F51">
              <w:rPr>
                <w:rFonts w:ascii="Titillium" w:hAnsi="Titillium"/>
                <w:color w:val="auto"/>
                <w:sz w:val="20"/>
                <w:szCs w:val="20"/>
              </w:rPr>
              <w:t xml:space="preserve">4.3.b emissioni nell’aria (per i parametri Particolato e Fluoruri); </w:t>
            </w:r>
          </w:p>
          <w:p w14:paraId="0EBF632B" w14:textId="77777777" w:rsidR="005B16FE" w:rsidRPr="00FF6F51" w:rsidRDefault="005B16FE" w:rsidP="00DC0018">
            <w:pPr>
              <w:pStyle w:val="Default"/>
              <w:rPr>
                <w:rFonts w:ascii="Titillium" w:hAnsi="Titillium"/>
                <w:color w:val="auto"/>
                <w:sz w:val="20"/>
                <w:szCs w:val="20"/>
              </w:rPr>
            </w:pPr>
            <w:r w:rsidRPr="00FF6F51">
              <w:rPr>
                <w:rFonts w:ascii="Titillium" w:hAnsi="Titillium"/>
                <w:color w:val="auto"/>
                <w:sz w:val="20"/>
                <w:szCs w:val="20"/>
              </w:rPr>
              <w:t xml:space="preserve">4.4. emissioni nell’acqua; </w:t>
            </w:r>
          </w:p>
          <w:p w14:paraId="5F4C2AC8" w14:textId="77777777" w:rsidR="005B16FE" w:rsidRPr="00FF6F51" w:rsidRDefault="005B16FE" w:rsidP="00DC0018">
            <w:pPr>
              <w:pStyle w:val="Default"/>
              <w:rPr>
                <w:rFonts w:ascii="Titillium" w:hAnsi="Titillium"/>
                <w:color w:val="auto"/>
                <w:sz w:val="20"/>
                <w:szCs w:val="20"/>
              </w:rPr>
            </w:pPr>
            <w:r w:rsidRPr="00FF6F51">
              <w:rPr>
                <w:rFonts w:ascii="Titillium" w:hAnsi="Titillium"/>
                <w:color w:val="auto"/>
                <w:sz w:val="20"/>
                <w:szCs w:val="20"/>
              </w:rPr>
              <w:t>5.2. recupero dei rifiuti.</w:t>
            </w:r>
          </w:p>
        </w:tc>
        <w:tc>
          <w:tcPr>
            <w:tcW w:w="535" w:type="pct"/>
          </w:tcPr>
          <w:p w14:paraId="08122369" w14:textId="77777777" w:rsidR="005B16FE" w:rsidRPr="00FF6F51" w:rsidRDefault="005B16FE" w:rsidP="00DC0018">
            <w:pPr>
              <w:pStyle w:val="Default"/>
              <w:rPr>
                <w:rFonts w:ascii="Titillium" w:hAnsi="Titillium"/>
                <w:b/>
                <w:bCs/>
                <w:i/>
                <w:iCs/>
                <w:color w:val="auto"/>
                <w:sz w:val="20"/>
                <w:szCs w:val="20"/>
              </w:rPr>
            </w:pPr>
          </w:p>
        </w:tc>
        <w:tc>
          <w:tcPr>
            <w:tcW w:w="1538" w:type="pct"/>
          </w:tcPr>
          <w:p w14:paraId="3AE52413" w14:textId="77777777" w:rsidR="005B16FE" w:rsidRPr="00FF6F51" w:rsidRDefault="005B16FE" w:rsidP="00DC0018">
            <w:pPr>
              <w:pStyle w:val="Default"/>
              <w:rPr>
                <w:rFonts w:ascii="Titillium" w:hAnsi="Titillium"/>
                <w:b/>
                <w:bCs/>
                <w:i/>
                <w:iCs/>
                <w:color w:val="auto"/>
                <w:sz w:val="20"/>
                <w:szCs w:val="20"/>
              </w:rPr>
            </w:pPr>
          </w:p>
        </w:tc>
      </w:tr>
      <w:tr w:rsidR="005B16FE" w:rsidRPr="00FF6F51" w14:paraId="076E7886" w14:textId="77777777" w:rsidTr="00443306">
        <w:trPr>
          <w:trHeight w:val="274"/>
        </w:trPr>
        <w:tc>
          <w:tcPr>
            <w:tcW w:w="385" w:type="pct"/>
            <w:vAlign w:val="center"/>
          </w:tcPr>
          <w:p w14:paraId="078A326F" w14:textId="77777777" w:rsidR="005B16FE" w:rsidRPr="00FF6F51" w:rsidRDefault="005B16FE" w:rsidP="00DC0018">
            <w:pPr>
              <w:pStyle w:val="Default"/>
              <w:jc w:val="center"/>
              <w:rPr>
                <w:rFonts w:ascii="Titillium" w:hAnsi="Titillium"/>
                <w:color w:val="auto"/>
                <w:sz w:val="20"/>
                <w:szCs w:val="20"/>
              </w:rPr>
            </w:pPr>
            <w:r w:rsidRPr="00FF6F51">
              <w:rPr>
                <w:rFonts w:ascii="Titillium" w:hAnsi="Titillium"/>
                <w:color w:val="auto"/>
                <w:sz w:val="20"/>
                <w:szCs w:val="20"/>
              </w:rPr>
              <w:t>31</w:t>
            </w:r>
          </w:p>
        </w:tc>
        <w:tc>
          <w:tcPr>
            <w:tcW w:w="2542" w:type="pct"/>
            <w:vAlign w:val="center"/>
          </w:tcPr>
          <w:p w14:paraId="5BBD8DCF" w14:textId="77777777" w:rsidR="005B16FE" w:rsidRPr="00FF6F51" w:rsidRDefault="005B16FE" w:rsidP="00DC0018">
            <w:pPr>
              <w:pStyle w:val="Default"/>
              <w:rPr>
                <w:rFonts w:ascii="Titillium" w:hAnsi="Titillium"/>
                <w:color w:val="auto"/>
                <w:sz w:val="20"/>
                <w:szCs w:val="20"/>
              </w:rPr>
            </w:pPr>
            <w:r w:rsidRPr="00FF6F51">
              <w:rPr>
                <w:rFonts w:ascii="Titillium" w:hAnsi="Titillium"/>
                <w:b/>
                <w:bCs/>
                <w:i/>
                <w:iCs/>
                <w:color w:val="auto"/>
                <w:sz w:val="20"/>
                <w:szCs w:val="20"/>
              </w:rPr>
              <w:t xml:space="preserve">Pitture e vernici </w:t>
            </w:r>
            <w:r w:rsidRPr="00FF6F51">
              <w:rPr>
                <w:rFonts w:ascii="Titillium" w:hAnsi="Titillium"/>
                <w:color w:val="auto"/>
                <w:sz w:val="20"/>
                <w:szCs w:val="20"/>
              </w:rPr>
              <w:t xml:space="preserve">- I prodotti vernicianti devono essere conformi ai criteri ecologici e prestazionali previsti dalla decisione 2014/312/UE (30) e </w:t>
            </w:r>
            <w:proofErr w:type="spellStart"/>
            <w:r w:rsidRPr="00FF6F51">
              <w:rPr>
                <w:rFonts w:ascii="Titillium" w:hAnsi="Titillium"/>
                <w:color w:val="auto"/>
                <w:sz w:val="20"/>
                <w:szCs w:val="20"/>
              </w:rPr>
              <w:t>s.m.i.</w:t>
            </w:r>
            <w:proofErr w:type="spellEnd"/>
            <w:r w:rsidRPr="00FF6F51">
              <w:rPr>
                <w:rFonts w:ascii="Titillium" w:hAnsi="Titillium"/>
                <w:color w:val="auto"/>
                <w:sz w:val="20"/>
                <w:szCs w:val="20"/>
              </w:rPr>
              <w:t xml:space="preserve"> relativa all’assegnazione del marchio comunitario di qualità ecologica.</w:t>
            </w:r>
          </w:p>
        </w:tc>
        <w:tc>
          <w:tcPr>
            <w:tcW w:w="535" w:type="pct"/>
          </w:tcPr>
          <w:p w14:paraId="11F634F7" w14:textId="77777777" w:rsidR="005B16FE" w:rsidRPr="00FF6F51" w:rsidRDefault="005B16FE" w:rsidP="00DC0018">
            <w:pPr>
              <w:pStyle w:val="Default"/>
              <w:rPr>
                <w:rFonts w:ascii="Titillium" w:hAnsi="Titillium"/>
                <w:b/>
                <w:bCs/>
                <w:i/>
                <w:iCs/>
                <w:color w:val="auto"/>
                <w:sz w:val="20"/>
                <w:szCs w:val="20"/>
              </w:rPr>
            </w:pPr>
          </w:p>
        </w:tc>
        <w:tc>
          <w:tcPr>
            <w:tcW w:w="1538" w:type="pct"/>
          </w:tcPr>
          <w:p w14:paraId="2D5A9763" w14:textId="77777777" w:rsidR="005B16FE" w:rsidRPr="00FF6F51" w:rsidRDefault="005B16FE" w:rsidP="00DC0018">
            <w:pPr>
              <w:pStyle w:val="Default"/>
              <w:rPr>
                <w:rFonts w:ascii="Titillium" w:hAnsi="Titillium"/>
                <w:b/>
                <w:bCs/>
                <w:i/>
                <w:iCs/>
                <w:color w:val="auto"/>
                <w:sz w:val="20"/>
                <w:szCs w:val="20"/>
              </w:rPr>
            </w:pPr>
          </w:p>
        </w:tc>
      </w:tr>
      <w:tr w:rsidR="005B16FE" w:rsidRPr="00FF6F51" w14:paraId="112DF88C" w14:textId="77777777" w:rsidTr="00443306">
        <w:trPr>
          <w:trHeight w:val="274"/>
        </w:trPr>
        <w:tc>
          <w:tcPr>
            <w:tcW w:w="385" w:type="pct"/>
            <w:vAlign w:val="center"/>
          </w:tcPr>
          <w:p w14:paraId="34127210" w14:textId="77777777" w:rsidR="005B16FE" w:rsidRPr="00FF6F51" w:rsidRDefault="005B16FE" w:rsidP="00DC0018">
            <w:pPr>
              <w:pStyle w:val="Default"/>
              <w:jc w:val="center"/>
              <w:rPr>
                <w:rFonts w:ascii="Titillium" w:hAnsi="Titillium"/>
                <w:color w:val="auto"/>
                <w:sz w:val="20"/>
                <w:szCs w:val="20"/>
              </w:rPr>
            </w:pPr>
            <w:r w:rsidRPr="00FF6F51">
              <w:rPr>
                <w:rFonts w:ascii="Titillium" w:hAnsi="Titillium"/>
                <w:color w:val="auto"/>
                <w:sz w:val="20"/>
                <w:szCs w:val="20"/>
              </w:rPr>
              <w:t>32</w:t>
            </w:r>
          </w:p>
        </w:tc>
        <w:tc>
          <w:tcPr>
            <w:tcW w:w="2542" w:type="pct"/>
            <w:vAlign w:val="center"/>
          </w:tcPr>
          <w:p w14:paraId="42AEB14B" w14:textId="77777777" w:rsidR="005B16FE" w:rsidRPr="00FF6F51" w:rsidRDefault="005B16FE" w:rsidP="00DC0018">
            <w:pPr>
              <w:pStyle w:val="Default"/>
              <w:rPr>
                <w:rFonts w:ascii="Titillium" w:hAnsi="Titillium"/>
                <w:color w:val="auto"/>
                <w:sz w:val="20"/>
                <w:szCs w:val="20"/>
              </w:rPr>
            </w:pPr>
            <w:r w:rsidRPr="00FF6F51">
              <w:rPr>
                <w:rFonts w:ascii="Titillium" w:hAnsi="Titillium"/>
                <w:b/>
                <w:bCs/>
                <w:i/>
                <w:iCs/>
                <w:color w:val="auto"/>
                <w:sz w:val="20"/>
                <w:szCs w:val="20"/>
              </w:rPr>
              <w:t>Impianti di illuminazione per interni ed esterni</w:t>
            </w:r>
            <w:r w:rsidRPr="00FF6F51">
              <w:rPr>
                <w:rFonts w:ascii="Titillium" w:hAnsi="Titillium"/>
                <w:color w:val="auto"/>
                <w:sz w:val="20"/>
                <w:szCs w:val="20"/>
              </w:rPr>
              <w:t xml:space="preserve"> - I sistemi di illuminazione devono essere a basso consumo energetico ed alta efficienza. A tal fine gli impianti di illuminazione devono essere progettati considerando che: tutti i tipi di lampada per utilizzi in abitazioni, scuole ed uffici, devono avere una efficienza luminosa uguale o superiore a 80 lm/W ed una resa cromatica uguale o superiore a 90; per ambienti esterni di pertinenza degli edifici la resa cromatica deve essere almeno pari ad 80; i prodotti devono essere progettati in modo da consentire di separare le diverse parti che compongono l’apparecchio d’illuminazione al fine di consentirne lo smaltimento completo a fine vita. Devono essere installati dei sistemi domotici, coadiuvati da sensori di presenza, che consentano la riduzione del consumo di energia elettrica.</w:t>
            </w:r>
          </w:p>
        </w:tc>
        <w:tc>
          <w:tcPr>
            <w:tcW w:w="535" w:type="pct"/>
          </w:tcPr>
          <w:p w14:paraId="42D47026" w14:textId="77777777" w:rsidR="005B16FE" w:rsidRPr="00FF6F51" w:rsidRDefault="005B16FE" w:rsidP="00DC0018">
            <w:pPr>
              <w:pStyle w:val="Default"/>
              <w:rPr>
                <w:rFonts w:ascii="Titillium" w:hAnsi="Titillium"/>
                <w:b/>
                <w:bCs/>
                <w:i/>
                <w:iCs/>
                <w:color w:val="auto"/>
                <w:sz w:val="20"/>
                <w:szCs w:val="20"/>
              </w:rPr>
            </w:pPr>
          </w:p>
        </w:tc>
        <w:tc>
          <w:tcPr>
            <w:tcW w:w="1538" w:type="pct"/>
          </w:tcPr>
          <w:p w14:paraId="6ADF3CD7" w14:textId="77777777" w:rsidR="005B16FE" w:rsidRPr="00FF6F51" w:rsidRDefault="005B16FE" w:rsidP="00DC0018">
            <w:pPr>
              <w:pStyle w:val="Default"/>
              <w:rPr>
                <w:rFonts w:ascii="Titillium" w:hAnsi="Titillium"/>
                <w:b/>
                <w:bCs/>
                <w:i/>
                <w:iCs/>
                <w:color w:val="auto"/>
                <w:sz w:val="20"/>
                <w:szCs w:val="20"/>
              </w:rPr>
            </w:pPr>
          </w:p>
        </w:tc>
      </w:tr>
      <w:tr w:rsidR="005B16FE" w:rsidRPr="00FF6F51" w14:paraId="335F7C71" w14:textId="77777777" w:rsidTr="00443306">
        <w:trPr>
          <w:trHeight w:val="274"/>
        </w:trPr>
        <w:tc>
          <w:tcPr>
            <w:tcW w:w="385" w:type="pct"/>
            <w:vAlign w:val="center"/>
          </w:tcPr>
          <w:p w14:paraId="2BA4D0D4" w14:textId="77777777" w:rsidR="005B16FE" w:rsidRPr="00FF6F51" w:rsidRDefault="005B16FE" w:rsidP="00DC0018">
            <w:pPr>
              <w:pStyle w:val="Default"/>
              <w:jc w:val="center"/>
              <w:rPr>
                <w:rFonts w:ascii="Titillium" w:hAnsi="Titillium"/>
                <w:color w:val="auto"/>
                <w:sz w:val="20"/>
                <w:szCs w:val="20"/>
              </w:rPr>
            </w:pPr>
            <w:r w:rsidRPr="00FF6F51">
              <w:rPr>
                <w:rFonts w:ascii="Titillium" w:hAnsi="Titillium"/>
                <w:color w:val="auto"/>
                <w:sz w:val="20"/>
                <w:szCs w:val="20"/>
              </w:rPr>
              <w:t>33</w:t>
            </w:r>
          </w:p>
        </w:tc>
        <w:tc>
          <w:tcPr>
            <w:tcW w:w="2542" w:type="pct"/>
            <w:vAlign w:val="center"/>
          </w:tcPr>
          <w:p w14:paraId="6CEC10CE" w14:textId="77777777" w:rsidR="005B16FE" w:rsidRPr="00FF6F51" w:rsidRDefault="005B16FE" w:rsidP="00DC0018">
            <w:pPr>
              <w:pStyle w:val="Default"/>
              <w:rPr>
                <w:rFonts w:ascii="Titillium" w:hAnsi="Titillium"/>
                <w:color w:val="auto"/>
                <w:sz w:val="20"/>
                <w:szCs w:val="20"/>
              </w:rPr>
            </w:pPr>
            <w:r w:rsidRPr="00FF6F51">
              <w:rPr>
                <w:rFonts w:ascii="Titillium" w:hAnsi="Titillium"/>
                <w:b/>
                <w:bCs/>
                <w:i/>
                <w:iCs/>
                <w:color w:val="auto"/>
                <w:sz w:val="20"/>
                <w:szCs w:val="20"/>
              </w:rPr>
              <w:t>Impianti di riscaldamento e condizionamento</w:t>
            </w:r>
            <w:r w:rsidRPr="00FF6F51">
              <w:rPr>
                <w:rFonts w:ascii="Titillium" w:hAnsi="Titillium"/>
                <w:color w:val="auto"/>
                <w:sz w:val="20"/>
                <w:szCs w:val="20"/>
              </w:rPr>
              <w:t xml:space="preserve"> - Gli impianti a pompa di calore devono essere conformi ai criteri ecologici e prestazionali previsti dalla decisione 2007/742/CE (32) e </w:t>
            </w:r>
            <w:proofErr w:type="spellStart"/>
            <w:r w:rsidRPr="00FF6F51">
              <w:rPr>
                <w:rFonts w:ascii="Titillium" w:hAnsi="Titillium"/>
                <w:color w:val="auto"/>
                <w:sz w:val="20"/>
                <w:szCs w:val="20"/>
              </w:rPr>
              <w:t>s.m.i.</w:t>
            </w:r>
            <w:proofErr w:type="spellEnd"/>
            <w:r w:rsidRPr="00FF6F51">
              <w:rPr>
                <w:rFonts w:ascii="Titillium" w:hAnsi="Titillium"/>
                <w:color w:val="auto"/>
                <w:sz w:val="20"/>
                <w:szCs w:val="20"/>
              </w:rPr>
              <w:t xml:space="preserve"> relativa all’assegnazione del marchio comunitario di qualità ecologica. Gli impianti di riscaldamento ad acqua devono essere conformi ai criteri ecologici e prestazionali previsti dalla decisione 2014/314/ UE (33) e </w:t>
            </w:r>
            <w:proofErr w:type="spellStart"/>
            <w:r w:rsidRPr="00FF6F51">
              <w:rPr>
                <w:rFonts w:ascii="Titillium" w:hAnsi="Titillium"/>
                <w:color w:val="auto"/>
                <w:sz w:val="20"/>
                <w:szCs w:val="20"/>
              </w:rPr>
              <w:t>s.m.i.</w:t>
            </w:r>
            <w:proofErr w:type="spellEnd"/>
            <w:r w:rsidRPr="00FF6F51">
              <w:rPr>
                <w:rFonts w:ascii="Titillium" w:hAnsi="Titillium"/>
                <w:color w:val="auto"/>
                <w:sz w:val="20"/>
                <w:szCs w:val="20"/>
              </w:rPr>
              <w:t xml:space="preserve"> relativa all’assegnazione del marchio comunitario di qualità ecologica. Se è previsto il servizio di climatizzazione e fornitura di energia per l’intero edificio, dovranno essere usati i criteri previsti dal decreto ministeriale 7 marzo 2012 (Gazzetta Ufficiale n. 74 del 28 marzo 2012) relativo ai CAM per «Affidamento di servizi energetici per gli edifici - servizio di illuminazione e forza motrice - servizio di riscaldamento/ raffrescamento». L’installazione degli impianti tecnologici deve avvenire in locali e spazi adeguati, ai fini di una corretta manutenzione igienica </w:t>
            </w:r>
            <w:r w:rsidRPr="00FF6F51">
              <w:rPr>
                <w:rFonts w:ascii="Titillium" w:hAnsi="Titillium"/>
                <w:color w:val="auto"/>
                <w:sz w:val="20"/>
                <w:szCs w:val="20"/>
              </w:rPr>
              <w:lastRenderedPageBreak/>
              <w:t>degli stessi in fase d’uso, tenendo conto di quanto previsto dall’Accordo Stato-Regioni 5 ottobre 2006 e 7 febbraio 2013. Per tutti gli impianti aeraulici deve essere prevista una ispezione tecnica iniziale da effettuarsi in previsione del primo avviamento dell’impianto (secondo la norma UNI EN 15780:2011).</w:t>
            </w:r>
          </w:p>
        </w:tc>
        <w:tc>
          <w:tcPr>
            <w:tcW w:w="535" w:type="pct"/>
          </w:tcPr>
          <w:p w14:paraId="374DAD17" w14:textId="77777777" w:rsidR="005B16FE" w:rsidRPr="00FF6F51" w:rsidRDefault="005B16FE" w:rsidP="00DC0018">
            <w:pPr>
              <w:pStyle w:val="Default"/>
              <w:rPr>
                <w:rFonts w:ascii="Titillium" w:hAnsi="Titillium"/>
                <w:b/>
                <w:bCs/>
                <w:i/>
                <w:iCs/>
                <w:color w:val="auto"/>
                <w:sz w:val="20"/>
                <w:szCs w:val="20"/>
              </w:rPr>
            </w:pPr>
          </w:p>
        </w:tc>
        <w:tc>
          <w:tcPr>
            <w:tcW w:w="1538" w:type="pct"/>
          </w:tcPr>
          <w:p w14:paraId="39F627BE" w14:textId="77777777" w:rsidR="005B16FE" w:rsidRPr="00FF6F51" w:rsidRDefault="005B16FE" w:rsidP="00DC0018">
            <w:pPr>
              <w:pStyle w:val="Default"/>
              <w:rPr>
                <w:rFonts w:ascii="Titillium" w:hAnsi="Titillium"/>
                <w:b/>
                <w:bCs/>
                <w:i/>
                <w:iCs/>
                <w:color w:val="auto"/>
                <w:sz w:val="20"/>
                <w:szCs w:val="20"/>
              </w:rPr>
            </w:pPr>
          </w:p>
        </w:tc>
      </w:tr>
      <w:tr w:rsidR="005B16FE" w:rsidRPr="00FF6F51" w14:paraId="335DA32A" w14:textId="77777777" w:rsidTr="00443306">
        <w:trPr>
          <w:trHeight w:val="274"/>
        </w:trPr>
        <w:tc>
          <w:tcPr>
            <w:tcW w:w="385" w:type="pct"/>
            <w:vAlign w:val="center"/>
          </w:tcPr>
          <w:p w14:paraId="7135BB69" w14:textId="77777777" w:rsidR="005B16FE" w:rsidRPr="00FF6F51" w:rsidRDefault="005B16FE" w:rsidP="00DC0018">
            <w:pPr>
              <w:pStyle w:val="Default"/>
              <w:jc w:val="center"/>
              <w:rPr>
                <w:rFonts w:ascii="Titillium" w:hAnsi="Titillium"/>
                <w:color w:val="auto"/>
                <w:sz w:val="20"/>
                <w:szCs w:val="20"/>
              </w:rPr>
            </w:pPr>
            <w:r w:rsidRPr="00FF6F51">
              <w:rPr>
                <w:rFonts w:ascii="Titillium" w:hAnsi="Titillium"/>
                <w:color w:val="auto"/>
                <w:sz w:val="20"/>
                <w:szCs w:val="20"/>
              </w:rPr>
              <w:t>34</w:t>
            </w:r>
          </w:p>
        </w:tc>
        <w:tc>
          <w:tcPr>
            <w:tcW w:w="2542" w:type="pct"/>
            <w:vAlign w:val="center"/>
          </w:tcPr>
          <w:p w14:paraId="3563AC79" w14:textId="77777777" w:rsidR="005B16FE" w:rsidRPr="00FF6F51" w:rsidRDefault="005B16FE" w:rsidP="00DC0018">
            <w:pPr>
              <w:pStyle w:val="Default"/>
              <w:rPr>
                <w:rFonts w:ascii="Titillium" w:hAnsi="Titillium"/>
                <w:color w:val="auto"/>
                <w:sz w:val="20"/>
                <w:szCs w:val="20"/>
              </w:rPr>
            </w:pPr>
            <w:r w:rsidRPr="00FF6F51">
              <w:rPr>
                <w:rFonts w:ascii="Titillium" w:hAnsi="Titillium"/>
                <w:b/>
                <w:bCs/>
                <w:i/>
                <w:iCs/>
                <w:color w:val="auto"/>
                <w:sz w:val="20"/>
                <w:szCs w:val="20"/>
              </w:rPr>
              <w:t>Impianti idrico sanitari</w:t>
            </w:r>
            <w:r w:rsidRPr="00FF6F51">
              <w:rPr>
                <w:rFonts w:ascii="Titillium" w:hAnsi="Titillium"/>
                <w:color w:val="auto"/>
                <w:sz w:val="20"/>
                <w:szCs w:val="20"/>
              </w:rPr>
              <w:t xml:space="preserve"> - I progetti degli interventi di nuova costruzione, inclusi gli interventi di demolizione e ricostruzione importante di primo livello, ferme restando le norme e i regolamenti più restrittivi, devono prevedere l’utilizzo di sistemi individuali di contabilizzazione del consumo di acqua per ogni unità immobiliare.</w:t>
            </w:r>
          </w:p>
        </w:tc>
        <w:tc>
          <w:tcPr>
            <w:tcW w:w="535" w:type="pct"/>
          </w:tcPr>
          <w:p w14:paraId="4BDC6537" w14:textId="77777777" w:rsidR="005B16FE" w:rsidRPr="00FF6F51" w:rsidRDefault="005B16FE" w:rsidP="00DC0018">
            <w:pPr>
              <w:pStyle w:val="Default"/>
              <w:rPr>
                <w:rFonts w:ascii="Titillium" w:hAnsi="Titillium"/>
                <w:b/>
                <w:bCs/>
                <w:i/>
                <w:iCs/>
                <w:color w:val="auto"/>
                <w:sz w:val="20"/>
                <w:szCs w:val="20"/>
              </w:rPr>
            </w:pPr>
          </w:p>
        </w:tc>
        <w:tc>
          <w:tcPr>
            <w:tcW w:w="1538" w:type="pct"/>
          </w:tcPr>
          <w:p w14:paraId="6123BEDA" w14:textId="77777777" w:rsidR="005B16FE" w:rsidRPr="00FF6F51" w:rsidRDefault="005B16FE" w:rsidP="00DC0018">
            <w:pPr>
              <w:pStyle w:val="Default"/>
              <w:rPr>
                <w:rFonts w:ascii="Titillium" w:hAnsi="Titillium"/>
                <w:b/>
                <w:bCs/>
                <w:i/>
                <w:iCs/>
                <w:color w:val="auto"/>
                <w:sz w:val="20"/>
                <w:szCs w:val="20"/>
              </w:rPr>
            </w:pPr>
          </w:p>
        </w:tc>
      </w:tr>
      <w:tr w:rsidR="005B16FE" w:rsidRPr="00FF6F51" w14:paraId="469254DD" w14:textId="77777777" w:rsidTr="00443306">
        <w:trPr>
          <w:trHeight w:val="274"/>
        </w:trPr>
        <w:tc>
          <w:tcPr>
            <w:tcW w:w="2927" w:type="pct"/>
            <w:gridSpan w:val="2"/>
            <w:shd w:val="clear" w:color="auto" w:fill="D9E2F3"/>
            <w:vAlign w:val="center"/>
          </w:tcPr>
          <w:p w14:paraId="2A49404D" w14:textId="77777777" w:rsidR="005B16FE" w:rsidRPr="00FF6F51" w:rsidRDefault="005B16FE" w:rsidP="00DC0018">
            <w:pPr>
              <w:pStyle w:val="Default"/>
              <w:jc w:val="center"/>
              <w:rPr>
                <w:rFonts w:ascii="Titillium" w:hAnsi="Titillium"/>
                <w:color w:val="auto"/>
                <w:sz w:val="20"/>
                <w:szCs w:val="20"/>
              </w:rPr>
            </w:pPr>
            <w:r w:rsidRPr="00FF6F51">
              <w:rPr>
                <w:rFonts w:ascii="Titillium" w:hAnsi="Titillium"/>
                <w:color w:val="auto"/>
                <w:sz w:val="20"/>
                <w:szCs w:val="20"/>
              </w:rPr>
              <w:t>Specifiche tecniche del cantiere</w:t>
            </w:r>
          </w:p>
        </w:tc>
        <w:tc>
          <w:tcPr>
            <w:tcW w:w="535" w:type="pct"/>
            <w:shd w:val="clear" w:color="auto" w:fill="D9E2F3"/>
          </w:tcPr>
          <w:p w14:paraId="57348CBC" w14:textId="77777777" w:rsidR="005B16FE" w:rsidRPr="00FF6F51" w:rsidRDefault="005B16FE" w:rsidP="00DC0018">
            <w:pPr>
              <w:pStyle w:val="Default"/>
              <w:jc w:val="center"/>
              <w:rPr>
                <w:rFonts w:ascii="Titillium" w:hAnsi="Titillium"/>
                <w:color w:val="auto"/>
                <w:sz w:val="20"/>
                <w:szCs w:val="20"/>
              </w:rPr>
            </w:pPr>
          </w:p>
        </w:tc>
        <w:tc>
          <w:tcPr>
            <w:tcW w:w="1538" w:type="pct"/>
            <w:shd w:val="clear" w:color="auto" w:fill="D9E2F3"/>
          </w:tcPr>
          <w:p w14:paraId="1607DC12" w14:textId="77777777" w:rsidR="005B16FE" w:rsidRPr="00FF6F51" w:rsidRDefault="005B16FE" w:rsidP="00DC0018">
            <w:pPr>
              <w:pStyle w:val="Default"/>
              <w:jc w:val="center"/>
              <w:rPr>
                <w:rFonts w:ascii="Titillium" w:hAnsi="Titillium"/>
                <w:color w:val="auto"/>
                <w:sz w:val="20"/>
                <w:szCs w:val="20"/>
              </w:rPr>
            </w:pPr>
          </w:p>
        </w:tc>
      </w:tr>
      <w:tr w:rsidR="005B16FE" w:rsidRPr="00FF6F51" w14:paraId="699F31C8" w14:textId="77777777" w:rsidTr="00443306">
        <w:trPr>
          <w:trHeight w:val="274"/>
        </w:trPr>
        <w:tc>
          <w:tcPr>
            <w:tcW w:w="385" w:type="pct"/>
            <w:vAlign w:val="center"/>
          </w:tcPr>
          <w:p w14:paraId="76CE7035" w14:textId="77777777" w:rsidR="005B16FE" w:rsidRPr="00FF6F51" w:rsidRDefault="005B16FE" w:rsidP="00DC0018">
            <w:pPr>
              <w:pStyle w:val="Default"/>
              <w:jc w:val="center"/>
              <w:rPr>
                <w:rFonts w:ascii="Titillium" w:hAnsi="Titillium"/>
                <w:color w:val="auto"/>
                <w:sz w:val="20"/>
                <w:szCs w:val="20"/>
              </w:rPr>
            </w:pPr>
            <w:r w:rsidRPr="00FF6F51">
              <w:rPr>
                <w:rFonts w:ascii="Titillium" w:hAnsi="Titillium"/>
                <w:color w:val="auto"/>
                <w:sz w:val="20"/>
                <w:szCs w:val="20"/>
              </w:rPr>
              <w:t>35</w:t>
            </w:r>
          </w:p>
        </w:tc>
        <w:tc>
          <w:tcPr>
            <w:tcW w:w="2542" w:type="pct"/>
            <w:vAlign w:val="center"/>
          </w:tcPr>
          <w:p w14:paraId="68B39DDC" w14:textId="77777777" w:rsidR="005B16FE" w:rsidRPr="00FF6F51" w:rsidRDefault="005B16FE" w:rsidP="00DC0018">
            <w:pPr>
              <w:pStyle w:val="Default"/>
              <w:rPr>
                <w:rFonts w:ascii="Titillium" w:hAnsi="Titillium"/>
                <w:color w:val="auto"/>
                <w:sz w:val="20"/>
                <w:szCs w:val="20"/>
              </w:rPr>
            </w:pPr>
            <w:r w:rsidRPr="00FF6F51">
              <w:rPr>
                <w:rFonts w:ascii="Titillium" w:hAnsi="Titillium"/>
                <w:b/>
                <w:bCs/>
                <w:i/>
                <w:iCs/>
                <w:color w:val="auto"/>
                <w:sz w:val="20"/>
                <w:szCs w:val="20"/>
              </w:rPr>
              <w:t>Demolizione e rimozione materiali</w:t>
            </w:r>
            <w:r w:rsidRPr="00FF6F51">
              <w:rPr>
                <w:rFonts w:ascii="Titillium" w:hAnsi="Titillium"/>
                <w:color w:val="auto"/>
                <w:sz w:val="20"/>
                <w:szCs w:val="20"/>
              </w:rPr>
              <w:t xml:space="preserve"> - Allo scopo di ridurre l’impatto ambientale sulle risorse naturali, di aumentare l’uso di materiali riciclati aumentando così il recupero dei rifiuti, con particolare riguardo ai rifiuti da demolizione e costruzione, fermo restando il rispetto di tutte le norme vigenti e di quanto previsto dalle specifiche norme tecniche di prodotto, le demolizioni e le rimozioni dei materiali devono essere eseguite in modo da favorire, il trattamento e recupero delle varie frazioni di materiali. A tal fine il progetto dell’edificio deve prevedere che: </w:t>
            </w:r>
          </w:p>
          <w:p w14:paraId="4DBBDD75" w14:textId="77777777" w:rsidR="005B16FE" w:rsidRPr="00FF6F51" w:rsidRDefault="005B16FE" w:rsidP="00DC0018">
            <w:pPr>
              <w:pStyle w:val="Default"/>
              <w:rPr>
                <w:rFonts w:ascii="Titillium" w:hAnsi="Titillium"/>
                <w:color w:val="auto"/>
                <w:sz w:val="20"/>
                <w:szCs w:val="20"/>
              </w:rPr>
            </w:pPr>
            <w:r w:rsidRPr="00FF6F51">
              <w:rPr>
                <w:rFonts w:ascii="Titillium" w:hAnsi="Titillium"/>
                <w:color w:val="auto"/>
                <w:sz w:val="20"/>
                <w:szCs w:val="20"/>
              </w:rPr>
              <w:t xml:space="preserve">1. nei casi di ristrutturazione, manutenzione e demolizione, almeno il 70% in peso dei rifiuti non pericolosi generati durante la demolizione e rimozione di edifici, parti di edifici, manufatti di qualsiasi genere presenti in cantiere, ed escludendo gli scavi, deve essere avviato a operazioni di preparazione per il riutilizzo, recupero o riciclaggio; </w:t>
            </w:r>
          </w:p>
          <w:p w14:paraId="3B2BB7DB" w14:textId="77777777" w:rsidR="005B16FE" w:rsidRPr="00FF6F51" w:rsidRDefault="005B16FE" w:rsidP="00DC0018">
            <w:pPr>
              <w:pStyle w:val="Default"/>
              <w:rPr>
                <w:rFonts w:ascii="Titillium" w:hAnsi="Titillium"/>
                <w:color w:val="auto"/>
                <w:sz w:val="20"/>
                <w:szCs w:val="20"/>
              </w:rPr>
            </w:pPr>
            <w:r w:rsidRPr="00FF6F51">
              <w:rPr>
                <w:rFonts w:ascii="Titillium" w:hAnsi="Titillium"/>
                <w:color w:val="auto"/>
                <w:sz w:val="20"/>
                <w:szCs w:val="20"/>
              </w:rPr>
              <w:t>2. il contraente dovrà effettuare una verifica precedente alla demolizione al fine di determinare ciò che può essere riutilizzato, riciclato o recuperato. Tale verifica include le seguenti operazioni:</w:t>
            </w:r>
          </w:p>
          <w:p w14:paraId="17392B0C" w14:textId="77777777" w:rsidR="005B16FE" w:rsidRPr="00FF6F51" w:rsidRDefault="005B16FE" w:rsidP="00DC0018">
            <w:pPr>
              <w:pStyle w:val="Default"/>
              <w:rPr>
                <w:rFonts w:ascii="Titillium" w:hAnsi="Titillium"/>
                <w:color w:val="auto"/>
                <w:sz w:val="20"/>
                <w:szCs w:val="20"/>
              </w:rPr>
            </w:pPr>
            <w:r w:rsidRPr="00FF6F51">
              <w:rPr>
                <w:rFonts w:ascii="Titillium" w:hAnsi="Titillium"/>
                <w:color w:val="auto"/>
                <w:sz w:val="20"/>
                <w:szCs w:val="20"/>
              </w:rPr>
              <w:t xml:space="preserve">- individuazione e valutazione dei rischi di rifiuti pericolosi che possono richiedere un trattamento o un trattamento specialistico, o emissioni che possono sorgere durante la demolizione; </w:t>
            </w:r>
          </w:p>
          <w:p w14:paraId="073520B6" w14:textId="77777777" w:rsidR="005B16FE" w:rsidRPr="00FF6F51" w:rsidRDefault="005B16FE" w:rsidP="00DC0018">
            <w:pPr>
              <w:pStyle w:val="Default"/>
              <w:rPr>
                <w:rFonts w:ascii="Titillium" w:hAnsi="Titillium"/>
                <w:color w:val="auto"/>
                <w:sz w:val="20"/>
                <w:szCs w:val="20"/>
              </w:rPr>
            </w:pPr>
            <w:r w:rsidRPr="00FF6F51">
              <w:rPr>
                <w:rFonts w:ascii="Titillium" w:hAnsi="Titillium"/>
                <w:color w:val="auto"/>
                <w:sz w:val="20"/>
                <w:szCs w:val="20"/>
              </w:rPr>
              <w:t xml:space="preserve">- una stima delle quantità con una ripartizione dei diversi materiali da costruzione; </w:t>
            </w:r>
          </w:p>
          <w:p w14:paraId="1C34A62F" w14:textId="77777777" w:rsidR="005B16FE" w:rsidRPr="00FF6F51" w:rsidRDefault="005B16FE" w:rsidP="00DC0018">
            <w:pPr>
              <w:pStyle w:val="Default"/>
              <w:rPr>
                <w:rFonts w:ascii="Titillium" w:hAnsi="Titillium"/>
                <w:color w:val="auto"/>
                <w:sz w:val="20"/>
                <w:szCs w:val="20"/>
              </w:rPr>
            </w:pPr>
            <w:r w:rsidRPr="00FF6F51">
              <w:rPr>
                <w:rFonts w:ascii="Titillium" w:hAnsi="Titillium"/>
                <w:color w:val="auto"/>
                <w:sz w:val="20"/>
                <w:szCs w:val="20"/>
              </w:rPr>
              <w:t xml:space="preserve">- una stima della percentuale di riutilizzo e il potenziale di riciclaggio sulla base di proposte di sistemi di selezione durante il processo di demolizione; </w:t>
            </w:r>
          </w:p>
          <w:p w14:paraId="2AD8182A" w14:textId="77777777" w:rsidR="005B16FE" w:rsidRPr="00FF6F51" w:rsidRDefault="005B16FE" w:rsidP="00DC0018">
            <w:pPr>
              <w:pStyle w:val="Default"/>
              <w:rPr>
                <w:rFonts w:ascii="Titillium" w:hAnsi="Titillium"/>
                <w:color w:val="auto"/>
                <w:sz w:val="20"/>
                <w:szCs w:val="20"/>
              </w:rPr>
            </w:pPr>
            <w:r w:rsidRPr="00FF6F51">
              <w:rPr>
                <w:rFonts w:ascii="Titillium" w:hAnsi="Titillium"/>
                <w:color w:val="auto"/>
                <w:sz w:val="20"/>
                <w:szCs w:val="20"/>
              </w:rPr>
              <w:t>- una stima della percentuale potenziale raggiungibile con altre forme di recupero dal processo di demolizione.</w:t>
            </w:r>
          </w:p>
        </w:tc>
        <w:tc>
          <w:tcPr>
            <w:tcW w:w="535" w:type="pct"/>
          </w:tcPr>
          <w:p w14:paraId="3F23DAD9" w14:textId="77777777" w:rsidR="005B16FE" w:rsidRPr="00FF6F51" w:rsidRDefault="005B16FE" w:rsidP="00DC0018">
            <w:pPr>
              <w:pStyle w:val="Default"/>
              <w:rPr>
                <w:rFonts w:ascii="Titillium" w:hAnsi="Titillium"/>
                <w:b/>
                <w:bCs/>
                <w:i/>
                <w:iCs/>
                <w:color w:val="auto"/>
                <w:sz w:val="20"/>
                <w:szCs w:val="20"/>
              </w:rPr>
            </w:pPr>
          </w:p>
        </w:tc>
        <w:tc>
          <w:tcPr>
            <w:tcW w:w="1538" w:type="pct"/>
          </w:tcPr>
          <w:p w14:paraId="5D8F9DA2" w14:textId="77777777" w:rsidR="005B16FE" w:rsidRPr="00FF6F51" w:rsidRDefault="005B16FE" w:rsidP="00DC0018">
            <w:pPr>
              <w:pStyle w:val="Default"/>
              <w:rPr>
                <w:rFonts w:ascii="Titillium" w:hAnsi="Titillium"/>
                <w:b/>
                <w:bCs/>
                <w:i/>
                <w:iCs/>
                <w:color w:val="auto"/>
                <w:sz w:val="20"/>
                <w:szCs w:val="20"/>
              </w:rPr>
            </w:pPr>
          </w:p>
        </w:tc>
      </w:tr>
      <w:tr w:rsidR="005B16FE" w:rsidRPr="00FF6F51" w14:paraId="5AC5C3C3" w14:textId="77777777" w:rsidTr="00443306">
        <w:trPr>
          <w:trHeight w:val="274"/>
        </w:trPr>
        <w:tc>
          <w:tcPr>
            <w:tcW w:w="385" w:type="pct"/>
            <w:vAlign w:val="center"/>
          </w:tcPr>
          <w:p w14:paraId="1B45AF02" w14:textId="77777777" w:rsidR="005B16FE" w:rsidRPr="00FF6F51" w:rsidRDefault="005B16FE" w:rsidP="00DC0018">
            <w:pPr>
              <w:pStyle w:val="Default"/>
              <w:jc w:val="center"/>
              <w:rPr>
                <w:rFonts w:ascii="Titillium" w:hAnsi="Titillium"/>
                <w:color w:val="auto"/>
                <w:sz w:val="20"/>
                <w:szCs w:val="20"/>
              </w:rPr>
            </w:pPr>
            <w:r w:rsidRPr="00FF6F51">
              <w:rPr>
                <w:rFonts w:ascii="Titillium" w:hAnsi="Titillium"/>
                <w:color w:val="auto"/>
                <w:sz w:val="20"/>
                <w:szCs w:val="20"/>
              </w:rPr>
              <w:t>36</w:t>
            </w:r>
          </w:p>
        </w:tc>
        <w:tc>
          <w:tcPr>
            <w:tcW w:w="2542" w:type="pct"/>
            <w:vAlign w:val="center"/>
          </w:tcPr>
          <w:p w14:paraId="5B57A209" w14:textId="77777777" w:rsidR="005B16FE" w:rsidRPr="00FF6F51" w:rsidRDefault="005B16FE" w:rsidP="00DC0018">
            <w:pPr>
              <w:pStyle w:val="Default"/>
              <w:rPr>
                <w:rFonts w:ascii="Titillium" w:hAnsi="Titillium"/>
                <w:color w:val="auto"/>
                <w:sz w:val="20"/>
                <w:szCs w:val="20"/>
              </w:rPr>
            </w:pPr>
            <w:r w:rsidRPr="00FF6F51">
              <w:rPr>
                <w:rFonts w:ascii="Titillium" w:hAnsi="Titillium"/>
                <w:b/>
                <w:bCs/>
                <w:i/>
                <w:iCs/>
                <w:color w:val="auto"/>
                <w:sz w:val="20"/>
                <w:szCs w:val="20"/>
              </w:rPr>
              <w:t>Materiali usati nel cantiere</w:t>
            </w:r>
            <w:r w:rsidRPr="00FF6F51">
              <w:rPr>
                <w:rFonts w:ascii="Titillium" w:hAnsi="Titillium"/>
                <w:color w:val="auto"/>
                <w:sz w:val="20"/>
                <w:szCs w:val="20"/>
              </w:rPr>
              <w:t xml:space="preserve"> - I materiali usati per l’esecuzione del progetto devono rispondere alle specifiche tecniche dei </w:t>
            </w:r>
            <w:r w:rsidRPr="00FF6F51">
              <w:rPr>
                <w:rFonts w:ascii="Titillium" w:hAnsi="Titillium"/>
                <w:color w:val="auto"/>
                <w:sz w:val="20"/>
                <w:szCs w:val="20"/>
              </w:rPr>
              <w:lastRenderedPageBreak/>
              <w:t>componenti edilizi (criteri 18-34)</w:t>
            </w:r>
          </w:p>
        </w:tc>
        <w:tc>
          <w:tcPr>
            <w:tcW w:w="535" w:type="pct"/>
          </w:tcPr>
          <w:p w14:paraId="4BF029F5" w14:textId="77777777" w:rsidR="005B16FE" w:rsidRPr="00FF6F51" w:rsidRDefault="005B16FE" w:rsidP="00DC0018">
            <w:pPr>
              <w:pStyle w:val="Default"/>
              <w:rPr>
                <w:rFonts w:ascii="Titillium" w:hAnsi="Titillium"/>
                <w:b/>
                <w:bCs/>
                <w:i/>
                <w:iCs/>
                <w:color w:val="auto"/>
                <w:sz w:val="20"/>
                <w:szCs w:val="20"/>
              </w:rPr>
            </w:pPr>
          </w:p>
        </w:tc>
        <w:tc>
          <w:tcPr>
            <w:tcW w:w="1538" w:type="pct"/>
          </w:tcPr>
          <w:p w14:paraId="57866B0D" w14:textId="77777777" w:rsidR="005B16FE" w:rsidRPr="00FF6F51" w:rsidRDefault="005B16FE" w:rsidP="00DC0018">
            <w:pPr>
              <w:pStyle w:val="Default"/>
              <w:rPr>
                <w:rFonts w:ascii="Titillium" w:hAnsi="Titillium"/>
                <w:b/>
                <w:bCs/>
                <w:i/>
                <w:iCs/>
                <w:color w:val="auto"/>
                <w:sz w:val="20"/>
                <w:szCs w:val="20"/>
              </w:rPr>
            </w:pPr>
          </w:p>
        </w:tc>
      </w:tr>
      <w:tr w:rsidR="005B16FE" w:rsidRPr="00FF6F51" w14:paraId="0D67C4B2" w14:textId="77777777" w:rsidTr="00443306">
        <w:trPr>
          <w:trHeight w:val="274"/>
        </w:trPr>
        <w:tc>
          <w:tcPr>
            <w:tcW w:w="385" w:type="pct"/>
            <w:vAlign w:val="center"/>
          </w:tcPr>
          <w:p w14:paraId="6FF3FB36" w14:textId="77777777" w:rsidR="005B16FE" w:rsidRPr="00FF6F51" w:rsidRDefault="005B16FE" w:rsidP="00DC0018">
            <w:pPr>
              <w:pStyle w:val="Default"/>
              <w:jc w:val="center"/>
              <w:rPr>
                <w:rFonts w:ascii="Titillium" w:hAnsi="Titillium"/>
                <w:color w:val="auto"/>
                <w:sz w:val="20"/>
                <w:szCs w:val="20"/>
              </w:rPr>
            </w:pPr>
            <w:r w:rsidRPr="00FF6F51">
              <w:rPr>
                <w:rFonts w:ascii="Titillium" w:hAnsi="Titillium"/>
                <w:color w:val="auto"/>
                <w:sz w:val="20"/>
                <w:szCs w:val="20"/>
              </w:rPr>
              <w:t>37</w:t>
            </w:r>
          </w:p>
        </w:tc>
        <w:tc>
          <w:tcPr>
            <w:tcW w:w="2542" w:type="pct"/>
            <w:vAlign w:val="center"/>
          </w:tcPr>
          <w:p w14:paraId="7DF92B9E" w14:textId="77777777" w:rsidR="005B16FE" w:rsidRPr="00FF6F51" w:rsidRDefault="005B16FE" w:rsidP="00DC0018">
            <w:pPr>
              <w:pStyle w:val="Default"/>
              <w:rPr>
                <w:rFonts w:ascii="Titillium" w:hAnsi="Titillium"/>
                <w:color w:val="auto"/>
                <w:sz w:val="20"/>
                <w:szCs w:val="20"/>
              </w:rPr>
            </w:pPr>
            <w:r w:rsidRPr="00FF6F51">
              <w:rPr>
                <w:rFonts w:ascii="Titillium" w:hAnsi="Titillium"/>
                <w:b/>
                <w:bCs/>
                <w:i/>
                <w:iCs/>
                <w:color w:val="auto"/>
                <w:sz w:val="20"/>
                <w:szCs w:val="20"/>
              </w:rPr>
              <w:t>Prestazioni ambientali</w:t>
            </w:r>
            <w:r w:rsidRPr="00FF6F51">
              <w:rPr>
                <w:rFonts w:ascii="Titillium" w:hAnsi="Titillium"/>
                <w:color w:val="auto"/>
                <w:sz w:val="20"/>
                <w:szCs w:val="20"/>
              </w:rPr>
              <w:t xml:space="preserve"> - Ferme restando le norme e i regolamenti più restrittivi, le attività di cantiere devono garantire le seguenti prestazioni: </w:t>
            </w:r>
          </w:p>
          <w:p w14:paraId="5B0B46E8" w14:textId="77777777" w:rsidR="005B16FE" w:rsidRPr="00FF6F51" w:rsidRDefault="005B16FE" w:rsidP="00DC0018">
            <w:pPr>
              <w:pStyle w:val="Default"/>
              <w:numPr>
                <w:ilvl w:val="0"/>
                <w:numId w:val="18"/>
              </w:numPr>
              <w:rPr>
                <w:rFonts w:ascii="Titillium" w:hAnsi="Titillium"/>
                <w:color w:val="auto"/>
                <w:sz w:val="20"/>
                <w:szCs w:val="20"/>
              </w:rPr>
            </w:pPr>
            <w:r w:rsidRPr="00FF6F51">
              <w:rPr>
                <w:rFonts w:ascii="Titillium" w:hAnsi="Titillium"/>
                <w:color w:val="auto"/>
                <w:sz w:val="20"/>
                <w:szCs w:val="20"/>
              </w:rPr>
              <w:t xml:space="preserve">per tutte le attività di cantiere e trasporto dei materiali devono essere utilizzati mezzi che rientrano almeno nella categoria EEV (veicolo ecologico migliorato) </w:t>
            </w:r>
          </w:p>
          <w:p w14:paraId="5AAC0B85" w14:textId="77777777" w:rsidR="005B16FE" w:rsidRPr="00FF6F51" w:rsidRDefault="005B16FE" w:rsidP="00DC0018">
            <w:pPr>
              <w:pStyle w:val="Default"/>
              <w:rPr>
                <w:rFonts w:ascii="Titillium" w:hAnsi="Titillium"/>
                <w:color w:val="auto"/>
                <w:sz w:val="20"/>
                <w:szCs w:val="20"/>
              </w:rPr>
            </w:pPr>
            <w:r w:rsidRPr="00FF6F51">
              <w:rPr>
                <w:rFonts w:ascii="Titillium" w:hAnsi="Titillium"/>
                <w:color w:val="auto"/>
                <w:sz w:val="20"/>
                <w:szCs w:val="20"/>
              </w:rPr>
              <w:t xml:space="preserve">Al fine di impedire fenomeni di diminuzione di materia organica, calo della biodiversità, contaminazione locale o diffusa, salinizzazione, erosione del suolo, etc. sono previste le seguenti azioni a tutela del suolo: </w:t>
            </w:r>
          </w:p>
          <w:p w14:paraId="1542D3F9" w14:textId="77777777" w:rsidR="005B16FE" w:rsidRPr="00FF6F51" w:rsidRDefault="005B16FE" w:rsidP="00DC0018">
            <w:pPr>
              <w:pStyle w:val="Default"/>
              <w:numPr>
                <w:ilvl w:val="0"/>
                <w:numId w:val="18"/>
              </w:numPr>
              <w:rPr>
                <w:rFonts w:ascii="Titillium" w:hAnsi="Titillium"/>
                <w:color w:val="auto"/>
                <w:sz w:val="20"/>
                <w:szCs w:val="20"/>
              </w:rPr>
            </w:pPr>
            <w:r w:rsidRPr="00FF6F51">
              <w:rPr>
                <w:rFonts w:ascii="Titillium" w:hAnsi="Titillium"/>
                <w:color w:val="auto"/>
                <w:sz w:val="20"/>
                <w:szCs w:val="20"/>
              </w:rPr>
              <w:t xml:space="preserve">accantonamento in sito e successivo riutilizzo dello scotico del terreno vegetale per una profondità di 60 cm, per la realizzazione di scarpate e aree verdi pubbliche e private; </w:t>
            </w:r>
          </w:p>
          <w:p w14:paraId="3FCAA517" w14:textId="77777777" w:rsidR="005B16FE" w:rsidRPr="00FF6F51" w:rsidRDefault="005B16FE" w:rsidP="00DC0018">
            <w:pPr>
              <w:pStyle w:val="Default"/>
              <w:numPr>
                <w:ilvl w:val="0"/>
                <w:numId w:val="18"/>
              </w:numPr>
              <w:rPr>
                <w:rFonts w:ascii="Titillium" w:hAnsi="Titillium"/>
                <w:color w:val="auto"/>
                <w:sz w:val="20"/>
                <w:szCs w:val="20"/>
              </w:rPr>
            </w:pPr>
            <w:r w:rsidRPr="00FF6F51">
              <w:rPr>
                <w:rFonts w:ascii="Titillium" w:hAnsi="Titillium"/>
                <w:color w:val="auto"/>
                <w:sz w:val="20"/>
                <w:szCs w:val="20"/>
              </w:rPr>
              <w:t xml:space="preserve">tutti i rifiuti prodotti dovranno ess e re selezionati e conferiti nelle apposite discariche autorizzate quando non sia possibile avviarli al recupero; </w:t>
            </w:r>
          </w:p>
          <w:p w14:paraId="5C2C2E95" w14:textId="77777777" w:rsidR="005B16FE" w:rsidRPr="00FF6F51" w:rsidRDefault="005B16FE" w:rsidP="00DC0018">
            <w:pPr>
              <w:pStyle w:val="Default"/>
              <w:numPr>
                <w:ilvl w:val="0"/>
                <w:numId w:val="18"/>
              </w:numPr>
              <w:rPr>
                <w:rFonts w:ascii="Titillium" w:hAnsi="Titillium"/>
                <w:color w:val="auto"/>
                <w:sz w:val="20"/>
                <w:szCs w:val="20"/>
              </w:rPr>
            </w:pPr>
            <w:r w:rsidRPr="00FF6F51">
              <w:rPr>
                <w:rFonts w:ascii="Titillium" w:hAnsi="Titillium"/>
                <w:color w:val="auto"/>
                <w:sz w:val="20"/>
                <w:szCs w:val="20"/>
              </w:rPr>
              <w:t>eventuali aree di deposito provvisorio di rifiuti non inerti devono essere opportunamente impermeabilizzate e le acque di dilavamento devono essere depurate prima di essere convogliate verso i recapiti idrici finali.</w:t>
            </w:r>
          </w:p>
          <w:p w14:paraId="2603F20E" w14:textId="77777777" w:rsidR="005B16FE" w:rsidRPr="00FF6F51" w:rsidRDefault="005B16FE" w:rsidP="00DC0018">
            <w:pPr>
              <w:pStyle w:val="Default"/>
              <w:rPr>
                <w:rFonts w:ascii="Titillium" w:hAnsi="Titillium"/>
                <w:color w:val="auto"/>
                <w:sz w:val="20"/>
                <w:szCs w:val="20"/>
              </w:rPr>
            </w:pPr>
            <w:r w:rsidRPr="00FF6F51">
              <w:rPr>
                <w:rFonts w:ascii="Titillium" w:hAnsi="Titillium"/>
                <w:color w:val="auto"/>
                <w:sz w:val="20"/>
                <w:szCs w:val="20"/>
              </w:rPr>
              <w:t xml:space="preserve"> Al fine di tutelare le acque superficiali e sotterranee da eventuali impatti sono previste le seguenti azioni a tutela delle acque superficiali e sotterranee: </w:t>
            </w:r>
          </w:p>
          <w:p w14:paraId="0069DA75" w14:textId="77777777" w:rsidR="005B16FE" w:rsidRPr="00FF6F51" w:rsidRDefault="005B16FE" w:rsidP="00DC0018">
            <w:pPr>
              <w:pStyle w:val="Default"/>
              <w:numPr>
                <w:ilvl w:val="0"/>
                <w:numId w:val="18"/>
              </w:numPr>
              <w:rPr>
                <w:rFonts w:ascii="Titillium" w:hAnsi="Titillium"/>
                <w:color w:val="auto"/>
                <w:sz w:val="20"/>
                <w:szCs w:val="20"/>
              </w:rPr>
            </w:pPr>
            <w:r w:rsidRPr="00FF6F51">
              <w:rPr>
                <w:rFonts w:ascii="Titillium" w:hAnsi="Titillium"/>
                <w:color w:val="auto"/>
                <w:sz w:val="20"/>
                <w:szCs w:val="20"/>
              </w:rPr>
              <w:t xml:space="preserve">gli ambiti interessati dai fossi e torrenti (fasce ripariali) e da filari o altre formazioni vegetazionali autoctone devono essere recintati e protetti con apposite reti al fine di proteggerli da danni accidentali. </w:t>
            </w:r>
          </w:p>
          <w:p w14:paraId="77EE6609" w14:textId="77777777" w:rsidR="005B16FE" w:rsidRPr="00FF6F51" w:rsidRDefault="005B16FE" w:rsidP="00DC0018">
            <w:pPr>
              <w:pStyle w:val="Default"/>
              <w:rPr>
                <w:rFonts w:ascii="Titillium" w:hAnsi="Titillium"/>
                <w:color w:val="auto"/>
                <w:sz w:val="20"/>
                <w:szCs w:val="20"/>
              </w:rPr>
            </w:pPr>
            <w:r w:rsidRPr="00FF6F51">
              <w:rPr>
                <w:rFonts w:ascii="Titillium" w:hAnsi="Titillium"/>
                <w:color w:val="auto"/>
                <w:sz w:val="20"/>
                <w:szCs w:val="20"/>
              </w:rPr>
              <w:t xml:space="preserve">Al fine di ridurre i rischi ambientali, la relazione tecnica deve contenere anche l’individuazione puntuale delle possibili criticità legate all’impatto nell’area di cantiere e alle emissioni di inquinanti sull’ambiente circostante, con particolare riferimento alle singole tipologie delle lavorazioni. La relazione tecnica dovrà inoltre contenere: </w:t>
            </w:r>
          </w:p>
          <w:p w14:paraId="0FCD5592" w14:textId="77777777" w:rsidR="005B16FE" w:rsidRPr="00FF6F51" w:rsidRDefault="005B16FE" w:rsidP="00DC0018">
            <w:pPr>
              <w:pStyle w:val="Default"/>
              <w:numPr>
                <w:ilvl w:val="0"/>
                <w:numId w:val="18"/>
              </w:numPr>
              <w:rPr>
                <w:rFonts w:ascii="Titillium" w:hAnsi="Titillium"/>
                <w:color w:val="auto"/>
                <w:sz w:val="20"/>
                <w:szCs w:val="20"/>
              </w:rPr>
            </w:pPr>
            <w:r w:rsidRPr="00FF6F51">
              <w:rPr>
                <w:rFonts w:ascii="Titillium" w:hAnsi="Titillium"/>
                <w:color w:val="auto"/>
                <w:sz w:val="20"/>
                <w:szCs w:val="20"/>
              </w:rPr>
              <w:t xml:space="preserve">le misure adottate per la protezione delle risorse naturali, paesistiche e storico-culturali presenti nell’area del cantiere; le misure per implementare la raccolta differenziata nel cantiere (tipo di cassonetti/contenitori per la raccolta differenziata, le aree da adibire a stoccaggio temporaneo, etc.) e per realizzare la demolizione selettiva e il riciclaggio dei materiali di scavo e dei rifiuti da costruzione e </w:t>
            </w:r>
            <w:r w:rsidRPr="00FF6F51">
              <w:rPr>
                <w:rFonts w:ascii="Titillium" w:hAnsi="Titillium"/>
                <w:color w:val="auto"/>
                <w:sz w:val="20"/>
                <w:szCs w:val="20"/>
              </w:rPr>
              <w:lastRenderedPageBreak/>
              <w:t xml:space="preserve">demolizione (C&amp; D); </w:t>
            </w:r>
          </w:p>
          <w:p w14:paraId="53586BEC" w14:textId="77777777" w:rsidR="005B16FE" w:rsidRPr="00FF6F51" w:rsidRDefault="005B16FE" w:rsidP="00DC0018">
            <w:pPr>
              <w:pStyle w:val="Default"/>
              <w:numPr>
                <w:ilvl w:val="0"/>
                <w:numId w:val="18"/>
              </w:numPr>
              <w:rPr>
                <w:rFonts w:ascii="Titillium" w:hAnsi="Titillium"/>
                <w:color w:val="auto"/>
                <w:sz w:val="20"/>
                <w:szCs w:val="20"/>
              </w:rPr>
            </w:pPr>
            <w:r w:rsidRPr="00FF6F51">
              <w:rPr>
                <w:rFonts w:ascii="Titillium" w:hAnsi="Titillium"/>
                <w:color w:val="auto"/>
                <w:sz w:val="20"/>
                <w:szCs w:val="20"/>
              </w:rPr>
              <w:t xml:space="preserve">le misure adottate per aumentare l’efficienza nell’uso dell’energia nel cantiere e per minimizzare le emissioni di gas climalteranti, con particolare riferimento all’uso di tecnologie a basso impatto ambientale (lampade a scarica di gas a basso consumo energetico o a led, generatori di corrente eco-diesel con silenziatore, pannelli solari per l’acqua calda, etc.); </w:t>
            </w:r>
          </w:p>
          <w:p w14:paraId="02312B2F" w14:textId="77777777" w:rsidR="005B16FE" w:rsidRPr="00FF6F51" w:rsidRDefault="005B16FE" w:rsidP="00DC0018">
            <w:pPr>
              <w:pStyle w:val="Default"/>
              <w:numPr>
                <w:ilvl w:val="0"/>
                <w:numId w:val="18"/>
              </w:numPr>
              <w:rPr>
                <w:rFonts w:ascii="Titillium" w:hAnsi="Titillium"/>
                <w:color w:val="auto"/>
                <w:sz w:val="20"/>
                <w:szCs w:val="20"/>
              </w:rPr>
            </w:pPr>
            <w:r w:rsidRPr="00FF6F51">
              <w:rPr>
                <w:rFonts w:ascii="Titillium" w:hAnsi="Titillium"/>
                <w:color w:val="auto"/>
                <w:sz w:val="20"/>
                <w:szCs w:val="20"/>
              </w:rPr>
              <w:t xml:space="preserve">le misure per l’abbattimento del rumore e delle vibrazioni, dovute alle operazioni di scavo, di carico/scarico dei materiali, di taglio dei materiali, di impasto del cemento e di disarmo, etc., e l’eventuale installazione di schermature/coperture antirumore (fisse o mobili) nelle aree più critiche e nelle aree di lavorazione più rumorose, con particolare riferimento alla disponibilità ad utilizzare gruppi elettrogeni super silenziati e compressori a ridotta emissione acustica; </w:t>
            </w:r>
          </w:p>
          <w:p w14:paraId="33525383" w14:textId="77777777" w:rsidR="005B16FE" w:rsidRPr="00FF6F51" w:rsidRDefault="005B16FE" w:rsidP="00DC0018">
            <w:pPr>
              <w:pStyle w:val="Default"/>
              <w:numPr>
                <w:ilvl w:val="0"/>
                <w:numId w:val="18"/>
              </w:numPr>
              <w:rPr>
                <w:rFonts w:ascii="Titillium" w:hAnsi="Titillium"/>
                <w:color w:val="auto"/>
                <w:sz w:val="20"/>
                <w:szCs w:val="20"/>
              </w:rPr>
            </w:pPr>
            <w:r w:rsidRPr="00FF6F51">
              <w:rPr>
                <w:rFonts w:ascii="Titillium" w:hAnsi="Titillium"/>
                <w:color w:val="auto"/>
                <w:sz w:val="20"/>
                <w:szCs w:val="20"/>
              </w:rPr>
              <w:t xml:space="preserve">le misure atte a garantire il risparmio idrico e la gestione delle acque reflue nel cantiere e l’uso delle acque piovane e quelle di lavorazione degli inerti, prevedendo opportune reti di drenaggio e scarico delle acque; </w:t>
            </w:r>
          </w:p>
          <w:p w14:paraId="785A8D39" w14:textId="77777777" w:rsidR="005B16FE" w:rsidRPr="00FF6F51" w:rsidRDefault="005B16FE" w:rsidP="00DC0018">
            <w:pPr>
              <w:pStyle w:val="Default"/>
              <w:numPr>
                <w:ilvl w:val="0"/>
                <w:numId w:val="18"/>
              </w:numPr>
              <w:rPr>
                <w:rFonts w:ascii="Titillium" w:hAnsi="Titillium"/>
                <w:color w:val="auto"/>
                <w:sz w:val="20"/>
                <w:szCs w:val="20"/>
              </w:rPr>
            </w:pPr>
            <w:r w:rsidRPr="00FF6F51">
              <w:rPr>
                <w:rFonts w:ascii="Titillium" w:hAnsi="Titillium"/>
                <w:color w:val="auto"/>
                <w:sz w:val="20"/>
                <w:szCs w:val="20"/>
              </w:rPr>
              <w:t xml:space="preserve">le misure per l’abbattimento delle polveri e fumi anche attraverso periodici interventi di irrorazione delle aree di lavorazione con l’acqua o altre tecniche di contenimento del fenomeno del sollevamento della polvere; </w:t>
            </w:r>
          </w:p>
          <w:p w14:paraId="44E8C33C" w14:textId="77777777" w:rsidR="005B16FE" w:rsidRPr="00FF6F51" w:rsidRDefault="005B16FE" w:rsidP="00DC0018">
            <w:pPr>
              <w:pStyle w:val="Default"/>
              <w:numPr>
                <w:ilvl w:val="0"/>
                <w:numId w:val="18"/>
              </w:numPr>
              <w:rPr>
                <w:rFonts w:ascii="Titillium" w:hAnsi="Titillium"/>
                <w:color w:val="auto"/>
                <w:sz w:val="20"/>
                <w:szCs w:val="20"/>
              </w:rPr>
            </w:pPr>
            <w:r w:rsidRPr="00FF6F51">
              <w:rPr>
                <w:rFonts w:ascii="Titillium" w:hAnsi="Titillium"/>
                <w:color w:val="auto"/>
                <w:sz w:val="20"/>
                <w:szCs w:val="20"/>
              </w:rPr>
              <w:t xml:space="preserve">le misure per garantire la protezione del suolo e del sottosuolo, anche attraverso la verifica periodica degli sversamenti accidentali di sostanze e materiali inquinanti e la previsione dei relativi interventi di estrazione e smaltimento del suolo contaminato; </w:t>
            </w:r>
          </w:p>
          <w:p w14:paraId="3096B4A2" w14:textId="77777777" w:rsidR="005B16FE" w:rsidRPr="00FF6F51" w:rsidRDefault="005B16FE" w:rsidP="00DC0018">
            <w:pPr>
              <w:pStyle w:val="Default"/>
              <w:numPr>
                <w:ilvl w:val="0"/>
                <w:numId w:val="18"/>
              </w:numPr>
              <w:rPr>
                <w:rFonts w:ascii="Titillium" w:hAnsi="Titillium"/>
                <w:color w:val="auto"/>
                <w:sz w:val="20"/>
                <w:szCs w:val="20"/>
              </w:rPr>
            </w:pPr>
            <w:r w:rsidRPr="00FF6F51">
              <w:rPr>
                <w:rFonts w:ascii="Titillium" w:hAnsi="Titillium"/>
                <w:color w:val="auto"/>
                <w:sz w:val="20"/>
                <w:szCs w:val="20"/>
              </w:rPr>
              <w:t xml:space="preserve">le misure idonee per ridurre l’impatto visivo del cantiere, anche attraverso schermature e sistemazione a verde, soprattutto in presenza di abitazioni contigue e habitat con presenza di specie particolarmente sensibili alla presenza umana; </w:t>
            </w:r>
          </w:p>
          <w:p w14:paraId="209C6A8B" w14:textId="77777777" w:rsidR="005B16FE" w:rsidRPr="00FF6F51" w:rsidRDefault="005B16FE" w:rsidP="00DC0018">
            <w:pPr>
              <w:pStyle w:val="Default"/>
              <w:numPr>
                <w:ilvl w:val="0"/>
                <w:numId w:val="18"/>
              </w:numPr>
              <w:rPr>
                <w:rFonts w:ascii="Titillium" w:hAnsi="Titillium"/>
                <w:color w:val="auto"/>
                <w:sz w:val="20"/>
                <w:szCs w:val="20"/>
              </w:rPr>
            </w:pPr>
            <w:r w:rsidRPr="00FF6F51">
              <w:rPr>
                <w:rFonts w:ascii="Titillium" w:hAnsi="Titillium"/>
                <w:color w:val="auto"/>
                <w:sz w:val="20"/>
                <w:szCs w:val="20"/>
              </w:rPr>
              <w:t>le misure per attività di demolizione selettiva e riciclaggio dei rifiuti, con particolare riferimento al recupero dei laterizi, del calcestruzzo e di materiale proveniente dalle attività di cantiere con minori contenuti di impurità, le misure per il recupero e riciclaggio degli imballaggi.</w:t>
            </w:r>
          </w:p>
          <w:p w14:paraId="2BB0191C" w14:textId="77777777" w:rsidR="005B16FE" w:rsidRPr="00FF6F51" w:rsidRDefault="005B16FE" w:rsidP="00DC0018">
            <w:pPr>
              <w:pStyle w:val="Default"/>
              <w:rPr>
                <w:rFonts w:ascii="Titillium" w:hAnsi="Titillium"/>
                <w:color w:val="auto"/>
                <w:sz w:val="20"/>
                <w:szCs w:val="20"/>
              </w:rPr>
            </w:pPr>
            <w:r w:rsidRPr="00FF6F51">
              <w:rPr>
                <w:rFonts w:ascii="Titillium" w:hAnsi="Titillium"/>
                <w:color w:val="auto"/>
                <w:sz w:val="20"/>
                <w:szCs w:val="20"/>
              </w:rPr>
              <w:t xml:space="preserve">Altre prescrizioni per la gestione del cantiere, per le </w:t>
            </w:r>
            <w:r w:rsidRPr="00FF6F51">
              <w:rPr>
                <w:rFonts w:ascii="Titillium" w:hAnsi="Titillium"/>
                <w:color w:val="auto"/>
                <w:sz w:val="20"/>
                <w:szCs w:val="20"/>
              </w:rPr>
              <w:lastRenderedPageBreak/>
              <w:t xml:space="preserve">preesistenze arboree e arbustive: </w:t>
            </w:r>
          </w:p>
          <w:p w14:paraId="1DC00D02" w14:textId="77777777" w:rsidR="005B16FE" w:rsidRPr="00FF6F51" w:rsidRDefault="005B16FE" w:rsidP="00DC0018">
            <w:pPr>
              <w:pStyle w:val="Default"/>
              <w:numPr>
                <w:ilvl w:val="0"/>
                <w:numId w:val="18"/>
              </w:numPr>
              <w:rPr>
                <w:rFonts w:ascii="Titillium" w:hAnsi="Titillium"/>
                <w:color w:val="auto"/>
                <w:sz w:val="20"/>
                <w:szCs w:val="20"/>
              </w:rPr>
            </w:pPr>
            <w:r w:rsidRPr="00FF6F51">
              <w:rPr>
                <w:rFonts w:ascii="Titillium" w:hAnsi="Titillium"/>
                <w:color w:val="auto"/>
                <w:sz w:val="20"/>
                <w:szCs w:val="20"/>
              </w:rPr>
              <w:t xml:space="preserve">rimozione delle specie arboree e arbustive alloctone invasive (in particolare, </w:t>
            </w:r>
            <w:proofErr w:type="spellStart"/>
            <w:r w:rsidRPr="00FF6F51">
              <w:rPr>
                <w:rFonts w:ascii="Titillium" w:hAnsi="Titillium"/>
                <w:color w:val="auto"/>
                <w:sz w:val="20"/>
                <w:szCs w:val="20"/>
              </w:rPr>
              <w:t>Ailanthus</w:t>
            </w:r>
            <w:proofErr w:type="spellEnd"/>
            <w:r w:rsidRPr="00FF6F51">
              <w:rPr>
                <w:rFonts w:ascii="Titillium" w:hAnsi="Titillium"/>
                <w:color w:val="auto"/>
                <w:sz w:val="20"/>
                <w:szCs w:val="20"/>
              </w:rPr>
              <w:t xml:space="preserve"> altissima e Robinia pseudoacacia), comprese radici e ceppaie. Per l’individuazione delle specie alloctone si dovrà fare riferimento alla «Watch-list della flora alloctona d’Italia» (Ministero dell’ambiente e della tutela del territorio e del mare, Carlo Blasi, Francesca Pretto &amp; Laura Celesti-</w:t>
            </w:r>
            <w:proofErr w:type="spellStart"/>
            <w:r w:rsidRPr="00FF6F51">
              <w:rPr>
                <w:rFonts w:ascii="Titillium" w:hAnsi="Titillium"/>
                <w:color w:val="auto"/>
                <w:sz w:val="20"/>
                <w:szCs w:val="20"/>
              </w:rPr>
              <w:t>Grapow</w:t>
            </w:r>
            <w:proofErr w:type="spellEnd"/>
            <w:r w:rsidRPr="00FF6F51">
              <w:rPr>
                <w:rFonts w:ascii="Titillium" w:hAnsi="Titillium"/>
                <w:color w:val="auto"/>
                <w:sz w:val="20"/>
                <w:szCs w:val="20"/>
              </w:rPr>
              <w:t xml:space="preserve">); </w:t>
            </w:r>
          </w:p>
          <w:p w14:paraId="6BBFC44A" w14:textId="77777777" w:rsidR="005B16FE" w:rsidRPr="00FF6F51" w:rsidRDefault="005B16FE" w:rsidP="00DC0018">
            <w:pPr>
              <w:pStyle w:val="Default"/>
              <w:numPr>
                <w:ilvl w:val="0"/>
                <w:numId w:val="18"/>
              </w:numPr>
              <w:rPr>
                <w:rFonts w:ascii="Titillium" w:hAnsi="Titillium"/>
                <w:color w:val="auto"/>
                <w:sz w:val="20"/>
                <w:szCs w:val="20"/>
              </w:rPr>
            </w:pPr>
            <w:r w:rsidRPr="00FF6F51">
              <w:rPr>
                <w:rFonts w:ascii="Titillium" w:hAnsi="Titillium"/>
                <w:color w:val="auto"/>
                <w:sz w:val="20"/>
                <w:szCs w:val="20"/>
              </w:rPr>
              <w:t xml:space="preserve">protezione delle specie arboree e arbustive autoctone: gli alberi nel cantiere devono essere protetti con materiali idonei, per escludere danni alle radici, al tronco e alla chioma. </w:t>
            </w:r>
            <w:proofErr w:type="gramStart"/>
            <w:r w:rsidRPr="00FF6F51">
              <w:rPr>
                <w:rFonts w:ascii="Titillium" w:hAnsi="Titillium"/>
                <w:color w:val="auto"/>
                <w:sz w:val="20"/>
                <w:szCs w:val="20"/>
              </w:rPr>
              <w:t>In particolare</w:t>
            </w:r>
            <w:proofErr w:type="gramEnd"/>
            <w:r w:rsidRPr="00FF6F51">
              <w:rPr>
                <w:rFonts w:ascii="Titillium" w:hAnsi="Titillium"/>
                <w:color w:val="auto"/>
                <w:sz w:val="20"/>
                <w:szCs w:val="20"/>
              </w:rPr>
              <w:t xml:space="preserve"> intorno al tronco verrà legato del tavolame di protezione dello spessore minimo di 2 cm. Non è ammesso usare gli alberi per l’infissione di chiodi, appoggi e per l’installazione di corpi illuminanti, cavi elettrici, </w:t>
            </w:r>
            <w:proofErr w:type="spellStart"/>
            <w:r w:rsidRPr="00FF6F51">
              <w:rPr>
                <w:rFonts w:ascii="Titillium" w:hAnsi="Titillium"/>
                <w:color w:val="auto"/>
                <w:sz w:val="20"/>
                <w:szCs w:val="20"/>
              </w:rPr>
              <w:t>etc</w:t>
            </w:r>
            <w:proofErr w:type="spellEnd"/>
            <w:r w:rsidRPr="00FF6F51">
              <w:rPr>
                <w:rFonts w:ascii="Titillium" w:hAnsi="Titillium"/>
                <w:color w:val="auto"/>
                <w:sz w:val="20"/>
                <w:szCs w:val="20"/>
              </w:rPr>
              <w:t xml:space="preserve">; </w:t>
            </w:r>
          </w:p>
          <w:p w14:paraId="36DA3E6C" w14:textId="77777777" w:rsidR="005B16FE" w:rsidRPr="00FF6F51" w:rsidRDefault="005B16FE" w:rsidP="00DC0018">
            <w:pPr>
              <w:pStyle w:val="Default"/>
              <w:numPr>
                <w:ilvl w:val="0"/>
                <w:numId w:val="18"/>
              </w:numPr>
              <w:rPr>
                <w:rFonts w:ascii="Titillium" w:hAnsi="Titillium"/>
                <w:color w:val="auto"/>
                <w:sz w:val="20"/>
                <w:szCs w:val="20"/>
              </w:rPr>
            </w:pPr>
            <w:r w:rsidRPr="00FF6F51">
              <w:rPr>
                <w:rFonts w:ascii="Titillium" w:hAnsi="Titillium"/>
                <w:color w:val="auto"/>
                <w:sz w:val="20"/>
                <w:szCs w:val="20"/>
              </w:rPr>
              <w:t>i depositi di materiali di cantiere non devono essere effettuati in prossimità delle preesistenze arboree e arbustive autoctone (deve essere garantita almeno una fascia di rispetto di 10 metri).</w:t>
            </w:r>
          </w:p>
        </w:tc>
        <w:tc>
          <w:tcPr>
            <w:tcW w:w="535" w:type="pct"/>
          </w:tcPr>
          <w:p w14:paraId="6D9992AB" w14:textId="77777777" w:rsidR="005B16FE" w:rsidRPr="00FF6F51" w:rsidRDefault="005B16FE" w:rsidP="00DC0018">
            <w:pPr>
              <w:pStyle w:val="Default"/>
              <w:rPr>
                <w:rFonts w:ascii="Titillium" w:hAnsi="Titillium"/>
                <w:b/>
                <w:bCs/>
                <w:i/>
                <w:iCs/>
                <w:color w:val="auto"/>
                <w:sz w:val="20"/>
                <w:szCs w:val="20"/>
              </w:rPr>
            </w:pPr>
          </w:p>
        </w:tc>
        <w:tc>
          <w:tcPr>
            <w:tcW w:w="1538" w:type="pct"/>
          </w:tcPr>
          <w:p w14:paraId="379C975E" w14:textId="77777777" w:rsidR="005B16FE" w:rsidRPr="00FF6F51" w:rsidRDefault="005B16FE" w:rsidP="00DC0018">
            <w:pPr>
              <w:pStyle w:val="Default"/>
              <w:rPr>
                <w:rFonts w:ascii="Titillium" w:hAnsi="Titillium"/>
                <w:b/>
                <w:bCs/>
                <w:i/>
                <w:iCs/>
                <w:color w:val="auto"/>
                <w:sz w:val="20"/>
                <w:szCs w:val="20"/>
              </w:rPr>
            </w:pPr>
          </w:p>
        </w:tc>
      </w:tr>
      <w:tr w:rsidR="005B16FE" w:rsidRPr="00FF6F51" w14:paraId="501BDC0A" w14:textId="77777777" w:rsidTr="00443306">
        <w:trPr>
          <w:trHeight w:val="274"/>
        </w:trPr>
        <w:tc>
          <w:tcPr>
            <w:tcW w:w="385" w:type="pct"/>
            <w:vAlign w:val="center"/>
          </w:tcPr>
          <w:p w14:paraId="60F1A872" w14:textId="77777777" w:rsidR="005B16FE" w:rsidRPr="00FF6F51" w:rsidRDefault="005B16FE" w:rsidP="00DC0018">
            <w:pPr>
              <w:pStyle w:val="Default"/>
              <w:jc w:val="center"/>
              <w:rPr>
                <w:rFonts w:ascii="Titillium" w:hAnsi="Titillium"/>
                <w:color w:val="auto"/>
                <w:sz w:val="20"/>
                <w:szCs w:val="20"/>
              </w:rPr>
            </w:pPr>
            <w:r w:rsidRPr="00FF6F51">
              <w:rPr>
                <w:rFonts w:ascii="Titillium" w:hAnsi="Titillium"/>
                <w:color w:val="auto"/>
                <w:sz w:val="20"/>
                <w:szCs w:val="20"/>
              </w:rPr>
              <w:lastRenderedPageBreak/>
              <w:t>38</w:t>
            </w:r>
          </w:p>
        </w:tc>
        <w:tc>
          <w:tcPr>
            <w:tcW w:w="2542" w:type="pct"/>
            <w:vAlign w:val="center"/>
          </w:tcPr>
          <w:p w14:paraId="31D7F7B4" w14:textId="77777777" w:rsidR="005B16FE" w:rsidRPr="00FF6F51" w:rsidRDefault="005B16FE" w:rsidP="00DC0018">
            <w:pPr>
              <w:pStyle w:val="Default"/>
              <w:rPr>
                <w:rFonts w:ascii="Titillium" w:hAnsi="Titillium"/>
                <w:color w:val="auto"/>
                <w:sz w:val="20"/>
                <w:szCs w:val="20"/>
              </w:rPr>
            </w:pPr>
            <w:r w:rsidRPr="00FF6F51">
              <w:rPr>
                <w:rFonts w:ascii="Titillium" w:hAnsi="Titillium"/>
                <w:b/>
                <w:bCs/>
                <w:i/>
                <w:iCs/>
                <w:color w:val="auto"/>
                <w:sz w:val="20"/>
                <w:szCs w:val="20"/>
              </w:rPr>
              <w:t>Personale di cantieri</w:t>
            </w:r>
            <w:r w:rsidRPr="00FF6F51">
              <w:rPr>
                <w:rFonts w:ascii="Titillium" w:hAnsi="Titillium"/>
                <w:color w:val="auto"/>
                <w:sz w:val="20"/>
                <w:szCs w:val="20"/>
              </w:rPr>
              <w:t xml:space="preserve"> - Il personale impiegato nel cantiere oggetto dell’appalto, che svolge mansioni collegate alla gestione ambientale dello stesso, deve essere adeguatamente formato per tali specifici compiti. Il personale impiegato nel cantiere deve essere formato per gli specifici compiti attinenti alla gestione ambientale del cantiere con particolare riguardo a: </w:t>
            </w:r>
          </w:p>
          <w:p w14:paraId="45468982" w14:textId="77777777" w:rsidR="005B16FE" w:rsidRPr="00FF6F51" w:rsidRDefault="005B16FE" w:rsidP="00DC0018">
            <w:pPr>
              <w:pStyle w:val="Default"/>
              <w:numPr>
                <w:ilvl w:val="0"/>
                <w:numId w:val="18"/>
              </w:numPr>
              <w:rPr>
                <w:rFonts w:ascii="Titillium" w:hAnsi="Titillium"/>
                <w:color w:val="auto"/>
                <w:sz w:val="20"/>
                <w:szCs w:val="20"/>
              </w:rPr>
            </w:pPr>
            <w:r w:rsidRPr="00FF6F51">
              <w:rPr>
                <w:rFonts w:ascii="Titillium" w:hAnsi="Titillium"/>
                <w:color w:val="auto"/>
                <w:sz w:val="20"/>
                <w:szCs w:val="20"/>
              </w:rPr>
              <w:t xml:space="preserve">sistema di gestione ambientale; </w:t>
            </w:r>
          </w:p>
          <w:p w14:paraId="3E162741" w14:textId="77777777" w:rsidR="005B16FE" w:rsidRPr="00FF6F51" w:rsidRDefault="005B16FE" w:rsidP="00DC0018">
            <w:pPr>
              <w:pStyle w:val="Default"/>
              <w:numPr>
                <w:ilvl w:val="0"/>
                <w:numId w:val="18"/>
              </w:numPr>
              <w:rPr>
                <w:rFonts w:ascii="Titillium" w:hAnsi="Titillium"/>
                <w:color w:val="auto"/>
                <w:sz w:val="20"/>
                <w:szCs w:val="20"/>
              </w:rPr>
            </w:pPr>
            <w:r w:rsidRPr="00FF6F51">
              <w:rPr>
                <w:rFonts w:ascii="Titillium" w:hAnsi="Titillium"/>
                <w:color w:val="auto"/>
                <w:sz w:val="20"/>
                <w:szCs w:val="20"/>
              </w:rPr>
              <w:t xml:space="preserve">gestione delle polveri; </w:t>
            </w:r>
          </w:p>
          <w:p w14:paraId="72ECB915" w14:textId="77777777" w:rsidR="005B16FE" w:rsidRPr="00FF6F51" w:rsidRDefault="005B16FE" w:rsidP="00DC0018">
            <w:pPr>
              <w:pStyle w:val="Default"/>
              <w:numPr>
                <w:ilvl w:val="0"/>
                <w:numId w:val="18"/>
              </w:numPr>
              <w:rPr>
                <w:rFonts w:ascii="Titillium" w:hAnsi="Titillium"/>
                <w:color w:val="auto"/>
                <w:sz w:val="20"/>
                <w:szCs w:val="20"/>
              </w:rPr>
            </w:pPr>
            <w:r w:rsidRPr="00FF6F51">
              <w:rPr>
                <w:rFonts w:ascii="Titillium" w:hAnsi="Titillium"/>
                <w:color w:val="auto"/>
                <w:sz w:val="20"/>
                <w:szCs w:val="20"/>
              </w:rPr>
              <w:t xml:space="preserve">gestione delle acque e scarichi; </w:t>
            </w:r>
          </w:p>
          <w:p w14:paraId="7E855DFA" w14:textId="77777777" w:rsidR="005B16FE" w:rsidRPr="00FF6F51" w:rsidRDefault="005B16FE" w:rsidP="00DC0018">
            <w:pPr>
              <w:pStyle w:val="Default"/>
              <w:numPr>
                <w:ilvl w:val="0"/>
                <w:numId w:val="18"/>
              </w:numPr>
              <w:rPr>
                <w:rFonts w:ascii="Titillium" w:hAnsi="Titillium"/>
                <w:color w:val="auto"/>
                <w:sz w:val="20"/>
                <w:szCs w:val="20"/>
              </w:rPr>
            </w:pPr>
            <w:r w:rsidRPr="00FF6F51">
              <w:rPr>
                <w:rFonts w:ascii="Titillium" w:hAnsi="Titillium"/>
                <w:color w:val="auto"/>
                <w:sz w:val="20"/>
                <w:szCs w:val="20"/>
              </w:rPr>
              <w:t>gestione dei rifiuti</w:t>
            </w:r>
          </w:p>
        </w:tc>
        <w:tc>
          <w:tcPr>
            <w:tcW w:w="535" w:type="pct"/>
          </w:tcPr>
          <w:p w14:paraId="5D7329B1" w14:textId="77777777" w:rsidR="005B16FE" w:rsidRPr="00FF6F51" w:rsidRDefault="005B16FE" w:rsidP="00DC0018">
            <w:pPr>
              <w:pStyle w:val="Default"/>
              <w:rPr>
                <w:rFonts w:ascii="Titillium" w:hAnsi="Titillium"/>
                <w:b/>
                <w:bCs/>
                <w:i/>
                <w:iCs/>
                <w:color w:val="auto"/>
                <w:sz w:val="20"/>
                <w:szCs w:val="20"/>
              </w:rPr>
            </w:pPr>
          </w:p>
        </w:tc>
        <w:tc>
          <w:tcPr>
            <w:tcW w:w="1538" w:type="pct"/>
          </w:tcPr>
          <w:p w14:paraId="26135E78" w14:textId="77777777" w:rsidR="005B16FE" w:rsidRPr="00FF6F51" w:rsidRDefault="005B16FE" w:rsidP="00DC0018">
            <w:pPr>
              <w:pStyle w:val="Default"/>
              <w:rPr>
                <w:rFonts w:ascii="Titillium" w:hAnsi="Titillium"/>
                <w:b/>
                <w:bCs/>
                <w:i/>
                <w:iCs/>
                <w:color w:val="auto"/>
                <w:sz w:val="20"/>
                <w:szCs w:val="20"/>
              </w:rPr>
            </w:pPr>
          </w:p>
        </w:tc>
      </w:tr>
      <w:tr w:rsidR="005B16FE" w:rsidRPr="00FF6F51" w14:paraId="28FBBCF8" w14:textId="77777777" w:rsidTr="00443306">
        <w:trPr>
          <w:trHeight w:val="274"/>
        </w:trPr>
        <w:tc>
          <w:tcPr>
            <w:tcW w:w="385" w:type="pct"/>
            <w:vAlign w:val="center"/>
          </w:tcPr>
          <w:p w14:paraId="57D5392F" w14:textId="77777777" w:rsidR="005B16FE" w:rsidRPr="00FF6F51" w:rsidRDefault="005B16FE" w:rsidP="00DC0018">
            <w:pPr>
              <w:pStyle w:val="Default"/>
              <w:jc w:val="center"/>
              <w:rPr>
                <w:rFonts w:ascii="Titillium" w:hAnsi="Titillium"/>
                <w:color w:val="auto"/>
                <w:sz w:val="20"/>
                <w:szCs w:val="20"/>
              </w:rPr>
            </w:pPr>
            <w:r w:rsidRPr="00FF6F51">
              <w:rPr>
                <w:rFonts w:ascii="Titillium" w:hAnsi="Titillium"/>
                <w:color w:val="auto"/>
                <w:sz w:val="20"/>
                <w:szCs w:val="20"/>
              </w:rPr>
              <w:t>39</w:t>
            </w:r>
          </w:p>
        </w:tc>
        <w:tc>
          <w:tcPr>
            <w:tcW w:w="2542" w:type="pct"/>
            <w:vAlign w:val="center"/>
          </w:tcPr>
          <w:p w14:paraId="29FF99D7" w14:textId="77777777" w:rsidR="005B16FE" w:rsidRPr="00FF6F51" w:rsidRDefault="005B16FE" w:rsidP="00DC0018">
            <w:pPr>
              <w:pStyle w:val="Default"/>
              <w:rPr>
                <w:rFonts w:ascii="Titillium" w:hAnsi="Titillium"/>
                <w:color w:val="auto"/>
                <w:sz w:val="20"/>
                <w:szCs w:val="20"/>
              </w:rPr>
            </w:pPr>
            <w:r w:rsidRPr="00FF6F51">
              <w:rPr>
                <w:rFonts w:ascii="Titillium" w:hAnsi="Titillium"/>
                <w:b/>
                <w:bCs/>
                <w:i/>
                <w:iCs/>
                <w:color w:val="auto"/>
                <w:sz w:val="20"/>
                <w:szCs w:val="20"/>
              </w:rPr>
              <w:t>Scavi e rinterri</w:t>
            </w:r>
            <w:r w:rsidRPr="00FF6F51">
              <w:rPr>
                <w:rFonts w:ascii="Titillium" w:hAnsi="Titillium"/>
                <w:color w:val="auto"/>
                <w:sz w:val="20"/>
                <w:szCs w:val="20"/>
              </w:rPr>
              <w:t xml:space="preserve"> - Prima dello scavo, deve essere asportato lo strato superficiale di terreno naturale (ricco di humus) per una profondità di almeno cm 60 e accantonato in cantiere per essere riutilizzato in eventuali opere a verde (se non previste, il terreno naturale dovrà essere trasportato al più vicino cantiere nel quale siano previste tali opere). Per i rinterri, deve essere riutilizzato materiale di scavo (escluso il terreno naturale di cui al precedente punto) proveniente dal cantiere stesso o da altri cantieri, o materiale riciclato conforme ai parametri della norma UNI 11531-1. Per i riempimenti con miscela di materiale </w:t>
            </w:r>
            <w:proofErr w:type="spellStart"/>
            <w:r w:rsidRPr="00FF6F51">
              <w:rPr>
                <w:rFonts w:ascii="Titillium" w:hAnsi="Titillium"/>
                <w:color w:val="auto"/>
                <w:sz w:val="20"/>
                <w:szCs w:val="20"/>
              </w:rPr>
              <w:t>betonabile</w:t>
            </w:r>
            <w:proofErr w:type="spellEnd"/>
            <w:r w:rsidRPr="00FF6F51">
              <w:rPr>
                <w:rFonts w:ascii="Titillium" w:hAnsi="Titillium"/>
                <w:color w:val="auto"/>
                <w:sz w:val="20"/>
                <w:szCs w:val="20"/>
              </w:rPr>
              <w:t xml:space="preserve"> deve essere utilizzato almeno il 50% di materiale riciclato</w:t>
            </w:r>
          </w:p>
        </w:tc>
        <w:tc>
          <w:tcPr>
            <w:tcW w:w="535" w:type="pct"/>
          </w:tcPr>
          <w:p w14:paraId="4DBD97CF" w14:textId="77777777" w:rsidR="005B16FE" w:rsidRPr="00FF6F51" w:rsidRDefault="005B16FE" w:rsidP="00DC0018">
            <w:pPr>
              <w:pStyle w:val="Default"/>
              <w:rPr>
                <w:rFonts w:ascii="Titillium" w:hAnsi="Titillium"/>
                <w:b/>
                <w:bCs/>
                <w:i/>
                <w:iCs/>
                <w:color w:val="auto"/>
                <w:sz w:val="20"/>
                <w:szCs w:val="20"/>
              </w:rPr>
            </w:pPr>
          </w:p>
        </w:tc>
        <w:tc>
          <w:tcPr>
            <w:tcW w:w="1538" w:type="pct"/>
          </w:tcPr>
          <w:p w14:paraId="7D75BDB5" w14:textId="77777777" w:rsidR="005B16FE" w:rsidRPr="00FF6F51" w:rsidRDefault="005B16FE" w:rsidP="00DC0018">
            <w:pPr>
              <w:pStyle w:val="Default"/>
              <w:rPr>
                <w:rFonts w:ascii="Titillium" w:hAnsi="Titillium"/>
                <w:b/>
                <w:bCs/>
                <w:i/>
                <w:iCs/>
                <w:color w:val="auto"/>
                <w:sz w:val="20"/>
                <w:szCs w:val="20"/>
              </w:rPr>
            </w:pPr>
          </w:p>
        </w:tc>
      </w:tr>
    </w:tbl>
    <w:p w14:paraId="5C8D4571" w14:textId="5EEED095" w:rsidR="0004741A" w:rsidRPr="00FF6F51" w:rsidRDefault="00DC0018" w:rsidP="00343AB5">
      <w:pPr>
        <w:rPr>
          <w:rFonts w:ascii="Titillium" w:hAnsi="Titillium"/>
          <w:i/>
        </w:rPr>
      </w:pPr>
      <w:r>
        <w:rPr>
          <w:rFonts w:ascii="Titillium" w:hAnsi="Titillium"/>
          <w:i/>
        </w:rPr>
        <w:lastRenderedPageBreak/>
        <w:br w:type="textWrapping" w:clear="all"/>
      </w:r>
    </w:p>
    <w:p w14:paraId="32ADE79A" w14:textId="77777777" w:rsidR="0004741A" w:rsidRPr="00FF6F51" w:rsidRDefault="0004741A" w:rsidP="00343AB5">
      <w:pPr>
        <w:rPr>
          <w:rFonts w:ascii="Titillium" w:hAnsi="Titillium"/>
          <w:iCs/>
          <w:sz w:val="20"/>
          <w:szCs w:val="20"/>
        </w:rPr>
      </w:pPr>
      <w:r w:rsidRPr="00FF6F51">
        <w:rPr>
          <w:rFonts w:ascii="Titillium" w:hAnsi="Titillium"/>
          <w:b/>
          <w:bCs/>
          <w:iCs/>
          <w:sz w:val="20"/>
          <w:szCs w:val="20"/>
        </w:rPr>
        <w:t>Verifica criteri 1-2-3-4</w:t>
      </w:r>
      <w:r w:rsidRPr="00FF6F51">
        <w:rPr>
          <w:rFonts w:ascii="Titillium" w:hAnsi="Titillium"/>
          <w:iCs/>
          <w:sz w:val="20"/>
          <w:szCs w:val="20"/>
        </w:rPr>
        <w:t xml:space="preserve">: </w:t>
      </w:r>
      <w:r w:rsidRPr="00FF6F51">
        <w:rPr>
          <w:rFonts w:ascii="Titillium" w:hAnsi="Titillium"/>
          <w:sz w:val="20"/>
          <w:szCs w:val="20"/>
        </w:rPr>
        <w:t xml:space="preserve">per dimostrare la conformità ai presenti criteri, il progettista deve presentare una relazione tecnica, con relativi elaborati grafici, nella quale sia evidenziato lo stato ante </w:t>
      </w:r>
      <w:proofErr w:type="spellStart"/>
      <w:r w:rsidRPr="00FF6F51">
        <w:rPr>
          <w:rFonts w:ascii="Titillium" w:hAnsi="Titillium"/>
          <w:sz w:val="20"/>
          <w:szCs w:val="20"/>
        </w:rPr>
        <w:t>operam</w:t>
      </w:r>
      <w:proofErr w:type="spellEnd"/>
      <w:r w:rsidRPr="00FF6F51">
        <w:rPr>
          <w:rFonts w:ascii="Titillium" w:hAnsi="Titillium"/>
          <w:sz w:val="20"/>
          <w:szCs w:val="20"/>
        </w:rPr>
        <w:t xml:space="preserve">, gli interventi previsti, i conseguenti risultati raggiungibili e lo stato post </w:t>
      </w:r>
      <w:proofErr w:type="spellStart"/>
      <w:r w:rsidRPr="00FF6F51">
        <w:rPr>
          <w:rFonts w:ascii="Titillium" w:hAnsi="Titillium"/>
          <w:sz w:val="20"/>
          <w:szCs w:val="20"/>
        </w:rPr>
        <w:t>operam</w:t>
      </w:r>
      <w:proofErr w:type="spellEnd"/>
      <w:r w:rsidRPr="00FF6F51">
        <w:rPr>
          <w:rFonts w:ascii="Titillium" w:hAnsi="Titillium"/>
          <w:sz w:val="20"/>
          <w:szCs w:val="20"/>
        </w:rPr>
        <w:t>. In particolare</w:t>
      </w:r>
      <w:r w:rsidR="00086F55" w:rsidRPr="00FF6F51">
        <w:rPr>
          <w:rFonts w:ascii="Titillium" w:hAnsi="Titillium"/>
          <w:sz w:val="20"/>
          <w:szCs w:val="20"/>
        </w:rPr>
        <w:t>,</w:t>
      </w:r>
      <w:r w:rsidRPr="00FF6F51">
        <w:rPr>
          <w:rFonts w:ascii="Titillium" w:hAnsi="Titillium"/>
          <w:sz w:val="20"/>
          <w:szCs w:val="20"/>
        </w:rPr>
        <w:t xml:space="preserve"> dovrà essere giustificata la scelta delle specie vegetali idonee e funzionali per il sito di inserimento, in quanto a esigenze idriche ed esigenze colturali. Dovrà essere data garanzia delle migliori condizioni vegetative possibili e della qualità dei substrati. Dovranno essere date indicazioni sulla successiva tecnica di manutenzione delle aree verdi. Qualora il progetto sia sottoposto ad una fase di verifica, valida per la successiva certificazione dell’edificio secondo uno dei protocolli di sostenibilità energetico-ambientale degli edifici (rating systems) di livello nazionale o internazionale, la conformità al presente criterio può essere dimostrata se nella certificazione risultano soddisfatti tutti i requisiti riferibili alle prestazioni ambientali richiamate dal presente criterio. In tali casi il progettista è esonerato dalla presentazione della documentazione sopra indicata, ma è richiesta la presentazione degli elaborati e/o dei documenti previsti dallo specifico protocollo di certificazione di edilizia sostenibile perseguita.</w:t>
      </w:r>
    </w:p>
    <w:p w14:paraId="549AD9D5" w14:textId="77777777" w:rsidR="0004741A" w:rsidRPr="00FF6F51" w:rsidRDefault="0004741A" w:rsidP="00343AB5">
      <w:pPr>
        <w:rPr>
          <w:rFonts w:ascii="Titillium" w:hAnsi="Titillium"/>
          <w:i/>
          <w:sz w:val="20"/>
          <w:szCs w:val="20"/>
        </w:rPr>
      </w:pPr>
      <w:r w:rsidRPr="00FF6F51">
        <w:rPr>
          <w:rFonts w:ascii="Titillium" w:hAnsi="Titillium"/>
          <w:b/>
          <w:bCs/>
          <w:iCs/>
          <w:sz w:val="20"/>
          <w:szCs w:val="20"/>
        </w:rPr>
        <w:t>Verifica criteri 5</w:t>
      </w:r>
      <w:r w:rsidR="006D0F5E" w:rsidRPr="00FF6F51">
        <w:rPr>
          <w:rFonts w:ascii="Titillium" w:hAnsi="Titillium"/>
          <w:b/>
          <w:bCs/>
          <w:iCs/>
          <w:sz w:val="20"/>
          <w:szCs w:val="20"/>
        </w:rPr>
        <w:t>–6-7</w:t>
      </w:r>
      <w:r w:rsidR="00093AEC" w:rsidRPr="00FF6F51">
        <w:rPr>
          <w:rFonts w:ascii="Titillium" w:hAnsi="Titillium"/>
          <w:b/>
          <w:bCs/>
          <w:iCs/>
          <w:sz w:val="20"/>
          <w:szCs w:val="20"/>
        </w:rPr>
        <w:t>-8</w:t>
      </w:r>
      <w:r w:rsidR="00C02E78" w:rsidRPr="00FF6F51">
        <w:rPr>
          <w:rFonts w:ascii="Titillium" w:hAnsi="Titillium"/>
          <w:b/>
          <w:bCs/>
          <w:iCs/>
          <w:sz w:val="20"/>
          <w:szCs w:val="20"/>
        </w:rPr>
        <w:t>-9</w:t>
      </w:r>
      <w:r w:rsidR="00033992" w:rsidRPr="00FF6F51">
        <w:rPr>
          <w:rFonts w:ascii="Titillium" w:hAnsi="Titillium"/>
          <w:b/>
          <w:bCs/>
          <w:iCs/>
          <w:sz w:val="20"/>
          <w:szCs w:val="20"/>
        </w:rPr>
        <w:t>-13</w:t>
      </w:r>
      <w:r w:rsidR="004460DB" w:rsidRPr="00FF6F51">
        <w:rPr>
          <w:rFonts w:ascii="Titillium" w:hAnsi="Titillium"/>
          <w:b/>
          <w:bCs/>
          <w:iCs/>
          <w:sz w:val="20"/>
          <w:szCs w:val="20"/>
        </w:rPr>
        <w:t>-14</w:t>
      </w:r>
      <w:r w:rsidR="00CE33A9" w:rsidRPr="00FF6F51">
        <w:rPr>
          <w:rFonts w:ascii="Titillium" w:hAnsi="Titillium"/>
          <w:b/>
          <w:bCs/>
          <w:iCs/>
          <w:sz w:val="20"/>
          <w:szCs w:val="20"/>
        </w:rPr>
        <w:t>-15[punti a), b) c) d)</w:t>
      </w:r>
      <w:r w:rsidRPr="00FF6F51">
        <w:rPr>
          <w:rFonts w:ascii="Titillium" w:hAnsi="Titillium"/>
          <w:b/>
          <w:bCs/>
          <w:iCs/>
          <w:sz w:val="20"/>
          <w:szCs w:val="20"/>
        </w:rPr>
        <w:t xml:space="preserve">: </w:t>
      </w:r>
      <w:r w:rsidR="006D0F5E" w:rsidRPr="00FF6F51">
        <w:rPr>
          <w:rFonts w:ascii="Titillium" w:hAnsi="Titillium"/>
          <w:sz w:val="20"/>
          <w:szCs w:val="20"/>
        </w:rPr>
        <w:t xml:space="preserve">per dimostrare la conformità al presente criterio, il progettista deve presentare una relazione tecnica, con relativi elaborati grafici, nella quale sia evidenziato lo stato ante </w:t>
      </w:r>
      <w:proofErr w:type="spellStart"/>
      <w:r w:rsidR="006D0F5E" w:rsidRPr="00FF6F51">
        <w:rPr>
          <w:rFonts w:ascii="Titillium" w:hAnsi="Titillium"/>
          <w:sz w:val="20"/>
          <w:szCs w:val="20"/>
        </w:rPr>
        <w:t>operam</w:t>
      </w:r>
      <w:proofErr w:type="spellEnd"/>
      <w:r w:rsidR="006D0F5E" w:rsidRPr="00FF6F51">
        <w:rPr>
          <w:rFonts w:ascii="Titillium" w:hAnsi="Titillium"/>
          <w:sz w:val="20"/>
          <w:szCs w:val="20"/>
        </w:rPr>
        <w:t xml:space="preserve">, gli interventi previsti, i conseguenti risultati raggiungibili e lo stato post </w:t>
      </w:r>
      <w:proofErr w:type="spellStart"/>
      <w:r w:rsidR="006D0F5E" w:rsidRPr="00FF6F51">
        <w:rPr>
          <w:rFonts w:ascii="Titillium" w:hAnsi="Titillium"/>
          <w:sz w:val="20"/>
          <w:szCs w:val="20"/>
        </w:rPr>
        <w:t>operam</w:t>
      </w:r>
      <w:proofErr w:type="spellEnd"/>
      <w:r w:rsidR="00093AEC" w:rsidRPr="00FF6F51">
        <w:rPr>
          <w:rFonts w:ascii="Titillium" w:hAnsi="Titillium"/>
          <w:sz w:val="20"/>
          <w:szCs w:val="20"/>
        </w:rPr>
        <w:t xml:space="preserve">. </w:t>
      </w:r>
      <w:r w:rsidR="00093AEC" w:rsidRPr="00FF6F51">
        <w:rPr>
          <w:rFonts w:ascii="Titillium" w:hAnsi="Titillium"/>
          <w:b/>
          <w:bCs/>
          <w:sz w:val="20"/>
          <w:szCs w:val="20"/>
        </w:rPr>
        <w:t>(solo per il criterio 8)</w:t>
      </w:r>
      <w:r w:rsidR="00093AEC" w:rsidRPr="00FF6F51">
        <w:rPr>
          <w:rFonts w:ascii="Titillium" w:hAnsi="Titillium"/>
          <w:sz w:val="20"/>
          <w:szCs w:val="20"/>
        </w:rPr>
        <w:t xml:space="preserve"> la relazione tecnica deve evidenziare anche il rispetto dei criteri contenuti nel documento CAM Illuminazione</w:t>
      </w:r>
      <w:r w:rsidR="006D0F5E" w:rsidRPr="00FF6F51">
        <w:rPr>
          <w:rFonts w:ascii="Titillium" w:hAnsi="Titillium"/>
          <w:sz w:val="20"/>
          <w:szCs w:val="20"/>
        </w:rPr>
        <w:t>. Qualora il progetto sia sottoposto ad una fase di verifica valida per la successiva certificazione dell’edificio secondo uno dei protocolli di sostenibilità energetico-ambientale degli edifici (rating systems) di livello nazionale o internazionale, la conformità al presente criterio può essere dimostrata se nella certificazione risultano soddisfatti tutti i requisiti riferibili alle prestazioni ambientali richiamate dal presente criterio. In tali casi il progettista è esonerato dalla presentazione della documentazione sopra indicata, ma è richiesta la presentazione degli elaborati e/o dei documenti previsti dallo specifico protocollo di certificazione di edilizia sostenibile perseguita</w:t>
      </w:r>
    </w:p>
    <w:p w14:paraId="53A3A6E1" w14:textId="77777777" w:rsidR="0004741A" w:rsidRPr="00FF6F51" w:rsidRDefault="00C02E78" w:rsidP="00343AB5">
      <w:pPr>
        <w:rPr>
          <w:rFonts w:ascii="Titillium" w:hAnsi="Titillium"/>
          <w:i/>
          <w:sz w:val="20"/>
          <w:szCs w:val="20"/>
        </w:rPr>
      </w:pPr>
      <w:r w:rsidRPr="00FF6F51">
        <w:rPr>
          <w:rFonts w:ascii="Titillium" w:hAnsi="Titillium"/>
          <w:b/>
          <w:bCs/>
          <w:iCs/>
          <w:sz w:val="20"/>
          <w:szCs w:val="20"/>
        </w:rPr>
        <w:t>Verifica criterio 10:</w:t>
      </w:r>
      <w:r w:rsidR="00661639" w:rsidRPr="00FF6F51">
        <w:rPr>
          <w:rFonts w:ascii="Titillium" w:hAnsi="Titillium"/>
          <w:sz w:val="20"/>
          <w:szCs w:val="20"/>
        </w:rPr>
        <w:t xml:space="preserve"> </w:t>
      </w:r>
      <w:r w:rsidRPr="00FF6F51">
        <w:rPr>
          <w:rFonts w:ascii="Titillium" w:hAnsi="Titillium"/>
          <w:sz w:val="20"/>
          <w:szCs w:val="20"/>
        </w:rPr>
        <w:t>per dimostrare la conformità al criterio il progettista deve presentare il Rapporto sullo stato dell’ambiente</w:t>
      </w:r>
    </w:p>
    <w:p w14:paraId="4845F229" w14:textId="77777777" w:rsidR="00CB031F" w:rsidRPr="00FF6F51" w:rsidRDefault="00661639" w:rsidP="00343AB5">
      <w:pPr>
        <w:rPr>
          <w:rFonts w:ascii="Titillium" w:hAnsi="Titillium"/>
          <w:sz w:val="20"/>
          <w:szCs w:val="20"/>
        </w:rPr>
      </w:pPr>
      <w:r w:rsidRPr="00FF6F51">
        <w:rPr>
          <w:rFonts w:ascii="Titillium" w:hAnsi="Titillium"/>
          <w:b/>
          <w:bCs/>
          <w:iCs/>
          <w:sz w:val="20"/>
          <w:szCs w:val="20"/>
        </w:rPr>
        <w:t xml:space="preserve">Verifica criterio 11: </w:t>
      </w:r>
      <w:r w:rsidR="00CB031F" w:rsidRPr="00FF6F51">
        <w:rPr>
          <w:rFonts w:ascii="Titillium" w:hAnsi="Titillium"/>
          <w:sz w:val="20"/>
          <w:szCs w:val="20"/>
        </w:rPr>
        <w:t xml:space="preserve">per dimostrare la conformità al presente criterio, il progettista deve presentare, per i casi ivi previsti: </w:t>
      </w:r>
    </w:p>
    <w:p w14:paraId="3E67E25D" w14:textId="77777777" w:rsidR="00CB031F" w:rsidRPr="00FF6F51" w:rsidRDefault="00CB031F" w:rsidP="00571841">
      <w:pPr>
        <w:numPr>
          <w:ilvl w:val="0"/>
          <w:numId w:val="12"/>
        </w:numPr>
        <w:rPr>
          <w:rFonts w:ascii="Titillium" w:hAnsi="Titillium"/>
          <w:i/>
          <w:sz w:val="20"/>
          <w:szCs w:val="20"/>
        </w:rPr>
      </w:pPr>
      <w:r w:rsidRPr="00FF6F51">
        <w:rPr>
          <w:rFonts w:ascii="Titillium" w:hAnsi="Titillium"/>
          <w:sz w:val="20"/>
          <w:szCs w:val="20"/>
        </w:rPr>
        <w:t>una diagnosi energetica redatta in base alle norme UNI CEI EN 16247, da un soggetto certificato secondo la norma UNI CEI 11339 o UNI CEI 11352 da un organismo di valutazione della conformità, che contenga una valutazione della prestazione energetica dell’edificio-impianto e delle azioni da intraprendere per la riduzione del fabbisogno energetico, conformemente alla normativa tecnica vigente;</w:t>
      </w:r>
    </w:p>
    <w:p w14:paraId="3263F0F6" w14:textId="77777777" w:rsidR="00CB031F" w:rsidRPr="00FF6F51" w:rsidRDefault="00CB031F" w:rsidP="00571841">
      <w:pPr>
        <w:numPr>
          <w:ilvl w:val="0"/>
          <w:numId w:val="12"/>
        </w:numPr>
        <w:rPr>
          <w:rFonts w:ascii="Titillium" w:hAnsi="Titillium"/>
          <w:i/>
          <w:sz w:val="20"/>
          <w:szCs w:val="20"/>
        </w:rPr>
      </w:pPr>
      <w:r w:rsidRPr="00FF6F51">
        <w:rPr>
          <w:rFonts w:ascii="Titillium" w:hAnsi="Titillium"/>
          <w:sz w:val="20"/>
          <w:szCs w:val="20"/>
        </w:rPr>
        <w:t>l’APE, conformemente alla normativa tecnica vigente;</w:t>
      </w:r>
    </w:p>
    <w:p w14:paraId="3F1FEBC7" w14:textId="77777777" w:rsidR="0004741A" w:rsidRPr="00FF6F51" w:rsidRDefault="00CB031F" w:rsidP="00CB031F">
      <w:pPr>
        <w:rPr>
          <w:rFonts w:ascii="Titillium" w:hAnsi="Titillium"/>
          <w:sz w:val="20"/>
          <w:szCs w:val="20"/>
        </w:rPr>
      </w:pPr>
      <w:r w:rsidRPr="00FF6F51">
        <w:rPr>
          <w:rFonts w:ascii="Titillium" w:hAnsi="Titillium"/>
          <w:sz w:val="20"/>
          <w:szCs w:val="20"/>
        </w:rPr>
        <w:t xml:space="preserve">Qualora il progetto sia sottoposto ad una fase di verifica valida per la successiva certificazione dell’edificio secondo uno dei protocolli di sostenibilità energetico-ambientale degli edifici (rating systems) di livello nazionale o </w:t>
      </w:r>
      <w:r w:rsidRPr="00FF6F51">
        <w:rPr>
          <w:rFonts w:ascii="Titillium" w:hAnsi="Titillium"/>
          <w:sz w:val="20"/>
          <w:szCs w:val="20"/>
        </w:rPr>
        <w:lastRenderedPageBreak/>
        <w:t>internazionale, la conformità al presente criterio può essere dimostrata se nella certificazione risultano soddisfatti tutti i requisiti riferibili alle prestazioni ambientali richiamate dal presente criterio. In tali casi il progettista è esonerato dalla presentazione della documentazione sopra indicata, ma è richiesta la presentazione degli elaborati e/o dei documenti previsti dallo specifico protocollo di certificazione di edilizia sostenibile perseguita</w:t>
      </w:r>
    </w:p>
    <w:p w14:paraId="46A50609" w14:textId="77777777" w:rsidR="00CB031F" w:rsidRPr="00FF6F51" w:rsidRDefault="00CB031F" w:rsidP="00CB031F">
      <w:pPr>
        <w:rPr>
          <w:rFonts w:ascii="Titillium" w:hAnsi="Titillium"/>
          <w:sz w:val="20"/>
          <w:szCs w:val="20"/>
        </w:rPr>
      </w:pPr>
      <w:r w:rsidRPr="00FF6F51">
        <w:rPr>
          <w:rFonts w:ascii="Titillium" w:hAnsi="Titillium"/>
          <w:b/>
          <w:bCs/>
          <w:iCs/>
          <w:sz w:val="20"/>
          <w:szCs w:val="20"/>
        </w:rPr>
        <w:t xml:space="preserve">Verifica criterio 12: </w:t>
      </w:r>
      <w:r w:rsidRPr="00FF6F51">
        <w:rPr>
          <w:rFonts w:ascii="Titillium" w:hAnsi="Titillium"/>
          <w:sz w:val="20"/>
          <w:szCs w:val="20"/>
        </w:rPr>
        <w:t xml:space="preserve">per dimostrare la conformità al presente criterio, il progettista deve presentare la relazione tecnica di cui al decreto ministeriale 26 giugno 2015 e l’Attestato di prestazione energetica (APE) dell’edificio ante e post </w:t>
      </w:r>
      <w:proofErr w:type="spellStart"/>
      <w:r w:rsidRPr="00FF6F51">
        <w:rPr>
          <w:rFonts w:ascii="Titillium" w:hAnsi="Titillium"/>
          <w:sz w:val="20"/>
          <w:szCs w:val="20"/>
        </w:rPr>
        <w:t>operam</w:t>
      </w:r>
      <w:proofErr w:type="spellEnd"/>
      <w:r w:rsidRPr="00FF6F51">
        <w:rPr>
          <w:rFonts w:ascii="Titillium" w:hAnsi="Titillium"/>
          <w:sz w:val="20"/>
          <w:szCs w:val="20"/>
        </w:rPr>
        <w:t>, gli interventi previsti, i conseguenti risultati raggiungibili. La temperatura operante estiva (</w:t>
      </w:r>
      <w:proofErr w:type="spellStart"/>
      <w:r w:rsidRPr="00FF6F51">
        <w:rPr>
          <w:rFonts w:ascii="Courier New" w:hAnsi="Courier New" w:cs="Courier New"/>
          <w:sz w:val="20"/>
          <w:szCs w:val="20"/>
        </w:rPr>
        <w:t>θ</w:t>
      </w:r>
      <w:proofErr w:type="gramStart"/>
      <w:r w:rsidRPr="00FF6F51">
        <w:rPr>
          <w:rFonts w:ascii="Titillium" w:hAnsi="Titillium"/>
          <w:sz w:val="20"/>
          <w:szCs w:val="20"/>
        </w:rPr>
        <w:t>o,t</w:t>
      </w:r>
      <w:proofErr w:type="spellEnd"/>
      <w:proofErr w:type="gramEnd"/>
      <w:r w:rsidRPr="00FF6F51">
        <w:rPr>
          <w:rFonts w:ascii="Titillium" w:hAnsi="Titillium"/>
          <w:sz w:val="20"/>
          <w:szCs w:val="20"/>
        </w:rPr>
        <w:t>) si calcola secondo la procedura descritta dalla UNI 10375, con riferimento al giorno più caldo della stagione estiva (secondo UNI 10349 parte 2) e per l’ambiente dell’edificio destinato alla permanenza di persone ritenuto più sfavorevole. Lo scarto in valore assoluto (</w:t>
      </w:r>
      <w:proofErr w:type="spellStart"/>
      <w:r w:rsidRPr="00FF6F51">
        <w:rPr>
          <w:rFonts w:ascii="Courier New" w:hAnsi="Courier New" w:cs="Courier New"/>
          <w:sz w:val="20"/>
          <w:szCs w:val="20"/>
        </w:rPr>
        <w:t>Δ</w:t>
      </w:r>
      <w:r w:rsidRPr="00FF6F51">
        <w:rPr>
          <w:rFonts w:ascii="Titillium" w:hAnsi="Titillium"/>
          <w:sz w:val="20"/>
          <w:szCs w:val="20"/>
        </w:rPr>
        <w:t>Ti</w:t>
      </w:r>
      <w:proofErr w:type="spellEnd"/>
      <w:r w:rsidRPr="00FF6F51">
        <w:rPr>
          <w:rFonts w:ascii="Titillium" w:hAnsi="Titillium"/>
          <w:sz w:val="20"/>
          <w:szCs w:val="20"/>
        </w:rPr>
        <w:t>), che corrisponde al livello minimo di comfort da garantire nell’ambiente più sfavorevole, si valuta con la seguente formula:</w:t>
      </w:r>
    </w:p>
    <w:p w14:paraId="43E571D1" w14:textId="77777777" w:rsidR="00033992" w:rsidRPr="00FF6F51" w:rsidRDefault="00033992" w:rsidP="00CB031F">
      <w:pPr>
        <w:rPr>
          <w:rFonts w:ascii="Titillium" w:hAnsi="Titillium"/>
          <w:sz w:val="20"/>
          <w:szCs w:val="20"/>
        </w:rPr>
      </w:pPr>
    </w:p>
    <w:p w14:paraId="544C4401" w14:textId="77777777" w:rsidR="00033992" w:rsidRPr="00FF6F51" w:rsidRDefault="00033992" w:rsidP="00CB031F">
      <w:pPr>
        <w:rPr>
          <w:rFonts w:ascii="Titillium" w:hAnsi="Titillium"/>
          <w:sz w:val="20"/>
          <w:szCs w:val="20"/>
        </w:rPr>
      </w:pPr>
      <w:proofErr w:type="spellStart"/>
      <w:r w:rsidRPr="00FF6F51">
        <w:rPr>
          <w:rFonts w:ascii="Courier New" w:hAnsi="Courier New" w:cs="Courier New"/>
          <w:sz w:val="20"/>
          <w:szCs w:val="20"/>
        </w:rPr>
        <w:t>Δ</w:t>
      </w:r>
      <w:r w:rsidRPr="00FF6F51">
        <w:rPr>
          <w:rFonts w:ascii="Titillium" w:hAnsi="Titillium"/>
          <w:sz w:val="20"/>
          <w:szCs w:val="20"/>
        </w:rPr>
        <w:t>Ti</w:t>
      </w:r>
      <w:proofErr w:type="spellEnd"/>
      <w:r w:rsidRPr="00FF6F51">
        <w:rPr>
          <w:rFonts w:ascii="Titillium" w:hAnsi="Titillium"/>
          <w:sz w:val="20"/>
          <w:szCs w:val="20"/>
        </w:rPr>
        <w:t xml:space="preserve"> = </w:t>
      </w:r>
      <w:r w:rsidRPr="00FF6F51">
        <w:rPr>
          <w:rFonts w:ascii="Courier New" w:hAnsi="Courier New" w:cs="Courier New"/>
          <w:sz w:val="20"/>
          <w:szCs w:val="20"/>
        </w:rPr>
        <w:t>│</w:t>
      </w:r>
      <w:proofErr w:type="spellStart"/>
      <w:r w:rsidRPr="00FF6F51">
        <w:rPr>
          <w:rFonts w:ascii="Courier New" w:hAnsi="Courier New" w:cs="Courier New"/>
          <w:sz w:val="20"/>
          <w:szCs w:val="20"/>
        </w:rPr>
        <w:t>ϑ</w:t>
      </w:r>
      <w:proofErr w:type="gramStart"/>
      <w:r w:rsidRPr="00FF6F51">
        <w:rPr>
          <w:rFonts w:ascii="Titillium" w:hAnsi="Titillium"/>
          <w:sz w:val="20"/>
          <w:szCs w:val="20"/>
        </w:rPr>
        <w:t>o,t</w:t>
      </w:r>
      <w:proofErr w:type="spellEnd"/>
      <w:proofErr w:type="gramEnd"/>
      <w:r w:rsidRPr="00FF6F51">
        <w:rPr>
          <w:rFonts w:ascii="Titillium" w:hAnsi="Titillium"/>
          <w:sz w:val="20"/>
          <w:szCs w:val="20"/>
        </w:rPr>
        <w:t xml:space="preserve"> - </w:t>
      </w:r>
      <w:proofErr w:type="spellStart"/>
      <w:r w:rsidRPr="00FF6F51">
        <w:rPr>
          <w:rFonts w:ascii="Courier New" w:hAnsi="Courier New" w:cs="Courier New"/>
          <w:sz w:val="20"/>
          <w:szCs w:val="20"/>
        </w:rPr>
        <w:t>ϑ</w:t>
      </w:r>
      <w:r w:rsidRPr="00FF6F51">
        <w:rPr>
          <w:rFonts w:ascii="Titillium" w:hAnsi="Titillium"/>
          <w:sz w:val="20"/>
          <w:szCs w:val="20"/>
        </w:rPr>
        <w:t>rif</w:t>
      </w:r>
      <w:proofErr w:type="spellEnd"/>
      <w:r w:rsidRPr="00FF6F51">
        <w:rPr>
          <w:rFonts w:ascii="Titillium" w:hAnsi="Titillium"/>
          <w:sz w:val="20"/>
          <w:szCs w:val="20"/>
        </w:rPr>
        <w:t xml:space="preserve"> </w:t>
      </w:r>
      <w:r w:rsidRPr="00FF6F51">
        <w:rPr>
          <w:rFonts w:ascii="Courier New" w:hAnsi="Courier New" w:cs="Courier New"/>
          <w:sz w:val="20"/>
          <w:szCs w:val="20"/>
        </w:rPr>
        <w:t>│</w:t>
      </w:r>
      <w:r w:rsidRPr="00FF6F51">
        <w:rPr>
          <w:rFonts w:ascii="Titillium" w:hAnsi="Titillium"/>
          <w:sz w:val="20"/>
          <w:szCs w:val="20"/>
        </w:rPr>
        <w:t>&lt; 4</w:t>
      </w:r>
      <w:r w:rsidRPr="00FF6F51">
        <w:rPr>
          <w:rFonts w:ascii="Titillium" w:hAnsi="Titillium" w:cs="Titillium"/>
          <w:sz w:val="20"/>
          <w:szCs w:val="20"/>
        </w:rPr>
        <w:t>°</w:t>
      </w:r>
      <w:r w:rsidRPr="00FF6F51">
        <w:rPr>
          <w:rFonts w:ascii="Titillium" w:hAnsi="Titillium"/>
          <w:sz w:val="20"/>
          <w:szCs w:val="20"/>
        </w:rPr>
        <w:t>C</w:t>
      </w:r>
    </w:p>
    <w:p w14:paraId="0CD9B57B" w14:textId="77777777" w:rsidR="00033992" w:rsidRPr="00FF6F51" w:rsidRDefault="00033992" w:rsidP="00CB031F">
      <w:pPr>
        <w:rPr>
          <w:rFonts w:ascii="Titillium" w:hAnsi="Titillium"/>
          <w:sz w:val="20"/>
          <w:szCs w:val="20"/>
        </w:rPr>
      </w:pPr>
      <w:r w:rsidRPr="00FF6F51">
        <w:rPr>
          <w:rFonts w:ascii="Titillium" w:hAnsi="Titillium"/>
          <w:sz w:val="20"/>
          <w:szCs w:val="20"/>
        </w:rPr>
        <w:t xml:space="preserve">dove: </w:t>
      </w:r>
    </w:p>
    <w:p w14:paraId="1713DE5E" w14:textId="77777777" w:rsidR="00033992" w:rsidRPr="00FF6F51" w:rsidRDefault="00033992" w:rsidP="00CB031F">
      <w:pPr>
        <w:rPr>
          <w:rFonts w:ascii="Titillium" w:hAnsi="Titillium"/>
          <w:sz w:val="20"/>
          <w:szCs w:val="20"/>
        </w:rPr>
      </w:pPr>
      <w:proofErr w:type="spellStart"/>
      <w:r w:rsidRPr="00FF6F51">
        <w:rPr>
          <w:rFonts w:ascii="Courier New" w:hAnsi="Courier New" w:cs="Courier New"/>
          <w:sz w:val="20"/>
          <w:szCs w:val="20"/>
        </w:rPr>
        <w:t>ϑ</w:t>
      </w:r>
      <w:r w:rsidRPr="00FF6F51">
        <w:rPr>
          <w:rFonts w:ascii="Titillium" w:hAnsi="Titillium"/>
          <w:sz w:val="20"/>
          <w:szCs w:val="20"/>
        </w:rPr>
        <w:t>rif</w:t>
      </w:r>
      <w:proofErr w:type="spellEnd"/>
      <w:r w:rsidRPr="00FF6F51">
        <w:rPr>
          <w:rFonts w:ascii="Titillium" w:hAnsi="Titillium"/>
          <w:sz w:val="20"/>
          <w:szCs w:val="20"/>
        </w:rPr>
        <w:t xml:space="preserve"> = (0,33* </w:t>
      </w:r>
      <w:proofErr w:type="spellStart"/>
      <w:r w:rsidRPr="00FF6F51">
        <w:rPr>
          <w:rFonts w:ascii="Courier New" w:hAnsi="Courier New" w:cs="Courier New"/>
          <w:sz w:val="20"/>
          <w:szCs w:val="20"/>
        </w:rPr>
        <w:t>ϑ</w:t>
      </w:r>
      <w:proofErr w:type="gramStart"/>
      <w:r w:rsidRPr="00FF6F51">
        <w:rPr>
          <w:rFonts w:ascii="Titillium" w:hAnsi="Titillium"/>
          <w:sz w:val="20"/>
          <w:szCs w:val="20"/>
        </w:rPr>
        <w:t>est</w:t>
      </w:r>
      <w:proofErr w:type="spellEnd"/>
      <w:r w:rsidRPr="00FF6F51">
        <w:rPr>
          <w:rFonts w:ascii="Titillium" w:hAnsi="Titillium"/>
          <w:sz w:val="20"/>
          <w:szCs w:val="20"/>
        </w:rPr>
        <w:t>)+</w:t>
      </w:r>
      <w:proofErr w:type="gramEnd"/>
      <w:r w:rsidRPr="00FF6F51">
        <w:rPr>
          <w:rFonts w:ascii="Titillium" w:hAnsi="Titillium"/>
          <w:sz w:val="20"/>
          <w:szCs w:val="20"/>
        </w:rPr>
        <w:t>18,8</w:t>
      </w:r>
    </w:p>
    <w:p w14:paraId="704675D7" w14:textId="77777777" w:rsidR="00033992" w:rsidRPr="00FF6F51" w:rsidRDefault="00033992" w:rsidP="00CB031F">
      <w:pPr>
        <w:rPr>
          <w:rFonts w:ascii="Titillium" w:hAnsi="Titillium"/>
          <w:sz w:val="20"/>
          <w:szCs w:val="20"/>
        </w:rPr>
      </w:pPr>
      <w:r w:rsidRPr="00FF6F51">
        <w:rPr>
          <w:rFonts w:ascii="Titillium" w:hAnsi="Titillium"/>
          <w:sz w:val="20"/>
          <w:szCs w:val="20"/>
        </w:rPr>
        <w:t>dove:</w:t>
      </w:r>
    </w:p>
    <w:p w14:paraId="5A23B410" w14:textId="77777777" w:rsidR="00033992" w:rsidRPr="00FF6F51" w:rsidRDefault="00033992" w:rsidP="00CB031F">
      <w:pPr>
        <w:rPr>
          <w:rFonts w:ascii="Titillium" w:hAnsi="Titillium"/>
          <w:sz w:val="20"/>
          <w:szCs w:val="20"/>
        </w:rPr>
      </w:pPr>
      <w:proofErr w:type="spellStart"/>
      <w:r w:rsidRPr="00FF6F51">
        <w:rPr>
          <w:rFonts w:ascii="Courier New" w:hAnsi="Courier New" w:cs="Courier New"/>
          <w:sz w:val="20"/>
          <w:szCs w:val="20"/>
        </w:rPr>
        <w:t>ϑ</w:t>
      </w:r>
      <w:r w:rsidRPr="00FF6F51">
        <w:rPr>
          <w:rFonts w:ascii="Titillium" w:hAnsi="Titillium"/>
          <w:sz w:val="20"/>
          <w:szCs w:val="20"/>
        </w:rPr>
        <w:t>est</w:t>
      </w:r>
      <w:proofErr w:type="spellEnd"/>
      <w:r w:rsidRPr="00FF6F51">
        <w:rPr>
          <w:rFonts w:ascii="Titillium" w:hAnsi="Titillium"/>
          <w:sz w:val="20"/>
          <w:szCs w:val="20"/>
        </w:rPr>
        <w:t xml:space="preserve"> = temperatura esterna media del giorno pi</w:t>
      </w:r>
      <w:r w:rsidRPr="00FF6F51">
        <w:rPr>
          <w:rFonts w:ascii="Titillium" w:hAnsi="Titillium" w:cs="Titillium"/>
          <w:sz w:val="20"/>
          <w:szCs w:val="20"/>
        </w:rPr>
        <w:t>ù</w:t>
      </w:r>
      <w:r w:rsidRPr="00FF6F51">
        <w:rPr>
          <w:rFonts w:ascii="Titillium" w:hAnsi="Titillium"/>
          <w:sz w:val="20"/>
          <w:szCs w:val="20"/>
        </w:rPr>
        <w:t xml:space="preserve"> caldo secondo UNI 10349 parte 2</w:t>
      </w:r>
    </w:p>
    <w:p w14:paraId="26BFA680" w14:textId="77777777" w:rsidR="00033992" w:rsidRPr="00FF6F51" w:rsidRDefault="00033992" w:rsidP="00CB031F">
      <w:pPr>
        <w:rPr>
          <w:rFonts w:ascii="Titillium" w:hAnsi="Titillium"/>
          <w:sz w:val="20"/>
          <w:szCs w:val="20"/>
        </w:rPr>
      </w:pPr>
      <w:r w:rsidRPr="00FF6F51">
        <w:rPr>
          <w:rFonts w:ascii="Titillium" w:hAnsi="Titillium"/>
          <w:sz w:val="20"/>
          <w:szCs w:val="20"/>
        </w:rPr>
        <w:t>In alternativa i parametri sopra citati possono essere valutati con metodi di calcolo più accurati. Qualora il progetto sia sottoposto ad una fase di verifica valida per la successiva certificazione dell’edificio secondo uno dei protocolli di sostenibilità energetico-ambientale degli edifici (rating systems) di livello nazionale o internazionale, la conformità al presente criterio può essere dimostrata se nella certificazione risultano soddisfatti tutti i requisiti riferibili alle prestazioni ambientali richiamate dal presente criterio. In tali casi il progettista è esonerato dalla presentazione della documentazione sopra indicata, ma è richiesta la presentazione degli elaborati e/o dei documenti previsti dallo specifico protocollo di certificazione di edilizia sostenibile perseguita.</w:t>
      </w:r>
    </w:p>
    <w:p w14:paraId="21634A6D" w14:textId="77777777" w:rsidR="00033992" w:rsidRPr="00FF6F51" w:rsidRDefault="00033992" w:rsidP="00CB031F">
      <w:pPr>
        <w:rPr>
          <w:rFonts w:ascii="Titillium" w:hAnsi="Titillium"/>
          <w:b/>
          <w:bCs/>
          <w:iCs/>
          <w:sz w:val="20"/>
          <w:szCs w:val="20"/>
        </w:rPr>
      </w:pPr>
      <w:r w:rsidRPr="00FF6F51">
        <w:rPr>
          <w:rFonts w:ascii="Titillium" w:hAnsi="Titillium"/>
          <w:b/>
          <w:bCs/>
          <w:iCs/>
          <w:sz w:val="20"/>
          <w:szCs w:val="20"/>
        </w:rPr>
        <w:t xml:space="preserve">Verifica criterio </w:t>
      </w:r>
      <w:r w:rsidR="00172192" w:rsidRPr="00FF6F51">
        <w:rPr>
          <w:rFonts w:ascii="Titillium" w:hAnsi="Titillium"/>
          <w:b/>
          <w:bCs/>
          <w:iCs/>
          <w:sz w:val="20"/>
          <w:szCs w:val="20"/>
        </w:rPr>
        <w:t>15</w:t>
      </w:r>
      <w:r w:rsidRPr="00FF6F51">
        <w:rPr>
          <w:rFonts w:ascii="Titillium" w:hAnsi="Titillium"/>
          <w:b/>
          <w:bCs/>
          <w:iCs/>
          <w:sz w:val="20"/>
          <w:szCs w:val="20"/>
        </w:rPr>
        <w:t>:</w:t>
      </w:r>
    </w:p>
    <w:p w14:paraId="792B0DD6" w14:textId="77777777" w:rsidR="00CE33A9" w:rsidRPr="00FF6F51" w:rsidRDefault="00CE33A9" w:rsidP="00CB031F">
      <w:pPr>
        <w:rPr>
          <w:rFonts w:ascii="Titillium" w:hAnsi="Titillium"/>
          <w:sz w:val="20"/>
          <w:szCs w:val="20"/>
        </w:rPr>
      </w:pPr>
      <w:r w:rsidRPr="00FF6F51">
        <w:rPr>
          <w:rFonts w:ascii="Titillium" w:hAnsi="Titillium"/>
          <w:b/>
          <w:bCs/>
          <w:iCs/>
          <w:sz w:val="20"/>
          <w:szCs w:val="20"/>
        </w:rPr>
        <w:t>Punt</w:t>
      </w:r>
      <w:r w:rsidR="00E954C6" w:rsidRPr="00FF6F51">
        <w:rPr>
          <w:rFonts w:ascii="Titillium" w:hAnsi="Titillium"/>
          <w:b/>
          <w:bCs/>
          <w:iCs/>
          <w:sz w:val="20"/>
          <w:szCs w:val="20"/>
        </w:rPr>
        <w:t>o</w:t>
      </w:r>
      <w:r w:rsidRPr="00FF6F51">
        <w:rPr>
          <w:rFonts w:ascii="Titillium" w:hAnsi="Titillium"/>
          <w:b/>
          <w:bCs/>
          <w:iCs/>
          <w:sz w:val="20"/>
          <w:szCs w:val="20"/>
        </w:rPr>
        <w:t xml:space="preserve"> e)</w:t>
      </w:r>
      <w:r w:rsidR="00086F55" w:rsidRPr="00FF6F51">
        <w:rPr>
          <w:rFonts w:ascii="Titillium" w:hAnsi="Titillium"/>
          <w:b/>
          <w:bCs/>
          <w:iCs/>
          <w:sz w:val="20"/>
          <w:szCs w:val="20"/>
        </w:rPr>
        <w:t>:</w:t>
      </w:r>
      <w:r w:rsidRPr="00FF6F51">
        <w:rPr>
          <w:rFonts w:ascii="Titillium" w:hAnsi="Titillium"/>
          <w:sz w:val="20"/>
          <w:szCs w:val="20"/>
        </w:rPr>
        <w:t xml:space="preserve">il progettista deve specificare le informazioni sull’emissività dei prodotti scelti per rispondere al criterio e prescrivere che in fase di approvvigionamento l’appaltatore dovrà accertarsi della rispondenza al criterio tramite la documentazione tecnica che ne dimostri il rispetto e che dovrà essere presentata alla stazione appaltante in fase di esecuzione dei lavori, nelle modalità indicate nel relativo capitolato. La determinazione delle emissioni deve avvenire in conformità alla CEN/TS 16516 o UNI EN ISO 16000-9 o norme equivalenti. Per qualunque metodo di prova o norma da utilizzare, si applicano i seguenti minimi fattori di carico (a parità di ricambi d’aria, sono ammessi fattori di carico superiori): </w:t>
      </w:r>
    </w:p>
    <w:p w14:paraId="03BECD92" w14:textId="77777777" w:rsidR="00CE33A9" w:rsidRPr="00FF6F51" w:rsidRDefault="00CE33A9" w:rsidP="00086F55">
      <w:pPr>
        <w:numPr>
          <w:ilvl w:val="0"/>
          <w:numId w:val="19"/>
        </w:numPr>
        <w:rPr>
          <w:rFonts w:ascii="Titillium" w:hAnsi="Titillium"/>
          <w:sz w:val="20"/>
          <w:szCs w:val="20"/>
        </w:rPr>
      </w:pPr>
      <w:r w:rsidRPr="00FF6F51">
        <w:rPr>
          <w:rFonts w:ascii="Titillium" w:hAnsi="Titillium"/>
          <w:sz w:val="20"/>
          <w:szCs w:val="20"/>
        </w:rPr>
        <w:t xml:space="preserve">1,0 m 2 /m 3 - pareti; </w:t>
      </w:r>
    </w:p>
    <w:p w14:paraId="49E11336" w14:textId="77777777" w:rsidR="00CE33A9" w:rsidRPr="00FF6F51" w:rsidRDefault="00CE33A9" w:rsidP="00086F55">
      <w:pPr>
        <w:numPr>
          <w:ilvl w:val="0"/>
          <w:numId w:val="19"/>
        </w:numPr>
        <w:rPr>
          <w:rFonts w:ascii="Titillium" w:hAnsi="Titillium"/>
          <w:sz w:val="20"/>
          <w:szCs w:val="20"/>
        </w:rPr>
      </w:pPr>
      <w:r w:rsidRPr="00FF6F51">
        <w:rPr>
          <w:rFonts w:ascii="Titillium" w:hAnsi="Titillium"/>
          <w:sz w:val="20"/>
          <w:szCs w:val="20"/>
        </w:rPr>
        <w:lastRenderedPageBreak/>
        <w:t>0,4 m 2 /m 3 - pavimenti e soffitto;</w:t>
      </w:r>
    </w:p>
    <w:p w14:paraId="5AAAC8CB" w14:textId="77777777" w:rsidR="00CE33A9" w:rsidRPr="00FF6F51" w:rsidRDefault="00CE33A9" w:rsidP="00086F55">
      <w:pPr>
        <w:numPr>
          <w:ilvl w:val="0"/>
          <w:numId w:val="19"/>
        </w:numPr>
        <w:rPr>
          <w:rFonts w:ascii="Titillium" w:hAnsi="Titillium"/>
          <w:sz w:val="20"/>
          <w:szCs w:val="20"/>
        </w:rPr>
      </w:pPr>
      <w:r w:rsidRPr="00FF6F51">
        <w:rPr>
          <w:rFonts w:ascii="Titillium" w:hAnsi="Titillium"/>
          <w:sz w:val="20"/>
          <w:szCs w:val="20"/>
        </w:rPr>
        <w:t xml:space="preserve">0,05 m 2 /m 3 piccole superfici, esempio porte; </w:t>
      </w:r>
    </w:p>
    <w:p w14:paraId="64E60D34" w14:textId="77777777" w:rsidR="00CE33A9" w:rsidRPr="00FF6F51" w:rsidRDefault="00CE33A9" w:rsidP="00086F55">
      <w:pPr>
        <w:numPr>
          <w:ilvl w:val="0"/>
          <w:numId w:val="19"/>
        </w:numPr>
        <w:rPr>
          <w:rFonts w:ascii="Titillium" w:hAnsi="Titillium"/>
          <w:sz w:val="20"/>
          <w:szCs w:val="20"/>
        </w:rPr>
      </w:pPr>
      <w:r w:rsidRPr="00FF6F51">
        <w:rPr>
          <w:rFonts w:ascii="Titillium" w:hAnsi="Titillium"/>
          <w:sz w:val="20"/>
          <w:szCs w:val="20"/>
        </w:rPr>
        <w:t xml:space="preserve">0,07 m 2 /m 3 finestre; </w:t>
      </w:r>
    </w:p>
    <w:p w14:paraId="68956E96" w14:textId="77777777" w:rsidR="00CE33A9" w:rsidRPr="00FF6F51" w:rsidRDefault="00CE33A9" w:rsidP="00086F55">
      <w:pPr>
        <w:numPr>
          <w:ilvl w:val="0"/>
          <w:numId w:val="19"/>
        </w:numPr>
        <w:rPr>
          <w:rFonts w:ascii="Titillium" w:hAnsi="Titillium"/>
          <w:sz w:val="20"/>
          <w:szCs w:val="20"/>
        </w:rPr>
      </w:pPr>
      <w:r w:rsidRPr="00FF6F51">
        <w:rPr>
          <w:rFonts w:ascii="Titillium" w:hAnsi="Titillium"/>
          <w:sz w:val="20"/>
          <w:szCs w:val="20"/>
        </w:rPr>
        <w:t xml:space="preserve">0,007 m 2 /m 3 - superfici molto limitate, per esempio sigillanti; </w:t>
      </w:r>
    </w:p>
    <w:p w14:paraId="47C06382" w14:textId="77777777" w:rsidR="00CE33A9" w:rsidRPr="00FF6F51" w:rsidRDefault="00CE33A9" w:rsidP="00086F55">
      <w:pPr>
        <w:numPr>
          <w:ilvl w:val="0"/>
          <w:numId w:val="19"/>
        </w:numPr>
        <w:rPr>
          <w:rFonts w:ascii="Titillium" w:hAnsi="Titillium"/>
          <w:sz w:val="20"/>
          <w:szCs w:val="20"/>
        </w:rPr>
      </w:pPr>
      <w:r w:rsidRPr="00FF6F51">
        <w:rPr>
          <w:rFonts w:ascii="Titillium" w:hAnsi="Titillium"/>
          <w:sz w:val="20"/>
          <w:szCs w:val="20"/>
        </w:rPr>
        <w:t xml:space="preserve">con 0,5 ricambi d’aria per ora. </w:t>
      </w:r>
    </w:p>
    <w:p w14:paraId="3AB64519" w14:textId="77777777" w:rsidR="00033992" w:rsidRPr="00FF6F51" w:rsidRDefault="00CE33A9" w:rsidP="00CB031F">
      <w:pPr>
        <w:rPr>
          <w:rFonts w:ascii="Titillium" w:hAnsi="Titillium"/>
          <w:sz w:val="20"/>
          <w:szCs w:val="20"/>
        </w:rPr>
      </w:pPr>
      <w:r w:rsidRPr="00FF6F51">
        <w:rPr>
          <w:rFonts w:ascii="Titillium" w:hAnsi="Titillium"/>
          <w:sz w:val="20"/>
          <w:szCs w:val="20"/>
        </w:rPr>
        <w:t>Per dimostrare la conformità sull’emissione di DBP e DEHP sono ammessi metodi alternativi di campionamento ed analisi (materiali con contenuti di DBP e DEHP inferiori a 1 mg/kg, limite di rilevabilità strumentale, sono considerati conformi al requisito di emissione a 28 giorni. Il contenuto di DBP e DEHP su prodotti liquidi o in pasta deve essere determinato dopo il periodo di indurimento o essiccazione a 20±10°C, come da scheda tecnica del prodotto). Tale documentazione dovrà essere presentata alla stazione appaltante in fase di esecuzione dei lavori, nelle modalità indicate nel relativo capitolato.</w:t>
      </w:r>
    </w:p>
    <w:p w14:paraId="7D85A5DF" w14:textId="77777777" w:rsidR="00CE33A9" w:rsidRPr="00FF6F51" w:rsidRDefault="00CE33A9" w:rsidP="00CB031F">
      <w:pPr>
        <w:rPr>
          <w:rFonts w:ascii="Titillium" w:hAnsi="Titillium"/>
          <w:b/>
          <w:bCs/>
          <w:iCs/>
          <w:sz w:val="20"/>
          <w:szCs w:val="20"/>
        </w:rPr>
      </w:pPr>
      <w:r w:rsidRPr="00FF6F51">
        <w:rPr>
          <w:rFonts w:ascii="Titillium" w:hAnsi="Titillium"/>
          <w:b/>
          <w:bCs/>
          <w:iCs/>
          <w:sz w:val="20"/>
          <w:szCs w:val="20"/>
        </w:rPr>
        <w:t>Punt</w:t>
      </w:r>
      <w:r w:rsidR="00E954C6" w:rsidRPr="00FF6F51">
        <w:rPr>
          <w:rFonts w:ascii="Titillium" w:hAnsi="Titillium"/>
          <w:b/>
          <w:bCs/>
          <w:iCs/>
          <w:sz w:val="20"/>
          <w:szCs w:val="20"/>
        </w:rPr>
        <w:t>o</w:t>
      </w:r>
      <w:r w:rsidRPr="00FF6F51">
        <w:rPr>
          <w:rFonts w:ascii="Titillium" w:hAnsi="Titillium"/>
          <w:b/>
          <w:bCs/>
          <w:iCs/>
          <w:sz w:val="20"/>
          <w:szCs w:val="20"/>
        </w:rPr>
        <w:t xml:space="preserve"> f)</w:t>
      </w:r>
      <w:r w:rsidR="00086F55" w:rsidRPr="00FF6F51">
        <w:rPr>
          <w:rFonts w:ascii="Titillium" w:hAnsi="Titillium"/>
          <w:b/>
          <w:bCs/>
          <w:iCs/>
          <w:sz w:val="20"/>
          <w:szCs w:val="20"/>
        </w:rPr>
        <w:t>:</w:t>
      </w:r>
      <w:r w:rsidR="00E954C6" w:rsidRPr="00FF6F51">
        <w:rPr>
          <w:rFonts w:ascii="Titillium" w:hAnsi="Titillium"/>
          <w:b/>
          <w:bCs/>
          <w:iCs/>
          <w:sz w:val="20"/>
          <w:szCs w:val="20"/>
        </w:rPr>
        <w:t xml:space="preserve"> </w:t>
      </w:r>
      <w:r w:rsidR="00E954C6" w:rsidRPr="00FF6F51">
        <w:rPr>
          <w:rFonts w:ascii="Titillium" w:hAnsi="Titillium"/>
          <w:sz w:val="20"/>
          <w:szCs w:val="20"/>
        </w:rPr>
        <w:t>i professionisti incaricati, ciascuno per le proprie competenze, devono dare evidenza del rispetto dei requisiti, sia in fase di progetto iniziale che in fase di verifica finale della conformità, consegnando rispettivamente un progetto acustico e una relazione di collaudo redatta tramite misure acustiche in opera, ai sensi delle norme UNI 11367, UNI 11444 e UNI 11532:2014 o norme equivalenti che attestino il raggiungimento della classe acustica qui richiesta. Qualora il progetto sia sottoposto ad una fase di verifica valida per la successiva certificazione dell’edificio secondo uno dei protocolli di sostenibilità energetico-ambientale degli edifici (rating systems) di livello nazionale o internazionale, la conformità al presente criterio può essere dimostrata se nella certificazione risultano soddisfatti tutti i requisiti riferibili alle prestazioni ambientali richiamate dal presente criterio. In tali casi il progettista è esonerato dalla presentazione della ulteriore documentazione sopra indicata, ma è richiesta la presentazione degli elaborati e/o dei documenti previsti dallo specifico protocollo di certificazione di edilizia sostenibile perseguita, fermo restando l’esecuzione del collaudo.</w:t>
      </w:r>
    </w:p>
    <w:p w14:paraId="0B395B65" w14:textId="77777777" w:rsidR="00033992" w:rsidRPr="00FF6F51" w:rsidRDefault="00E954C6" w:rsidP="00CB031F">
      <w:pPr>
        <w:rPr>
          <w:rFonts w:ascii="Titillium" w:hAnsi="Titillium"/>
          <w:b/>
          <w:bCs/>
          <w:iCs/>
          <w:sz w:val="20"/>
          <w:szCs w:val="20"/>
        </w:rPr>
      </w:pPr>
      <w:r w:rsidRPr="00FF6F51">
        <w:rPr>
          <w:rFonts w:ascii="Titillium" w:hAnsi="Titillium"/>
          <w:b/>
          <w:bCs/>
          <w:iCs/>
          <w:sz w:val="20"/>
          <w:szCs w:val="20"/>
        </w:rPr>
        <w:t>Punto g)</w:t>
      </w:r>
      <w:r w:rsidR="00086F55" w:rsidRPr="00FF6F51">
        <w:rPr>
          <w:rFonts w:ascii="Titillium" w:hAnsi="Titillium"/>
          <w:b/>
          <w:bCs/>
          <w:iCs/>
          <w:sz w:val="20"/>
          <w:szCs w:val="20"/>
        </w:rPr>
        <w:t>:</w:t>
      </w:r>
      <w:r w:rsidRPr="00FF6F51">
        <w:rPr>
          <w:rFonts w:ascii="Titillium" w:hAnsi="Titillium"/>
          <w:b/>
          <w:bCs/>
          <w:iCs/>
          <w:sz w:val="20"/>
          <w:szCs w:val="20"/>
        </w:rPr>
        <w:t xml:space="preserve"> </w:t>
      </w:r>
      <w:r w:rsidRPr="00FF6F51">
        <w:rPr>
          <w:rFonts w:ascii="Titillium" w:hAnsi="Titillium"/>
          <w:sz w:val="20"/>
          <w:szCs w:val="20"/>
        </w:rPr>
        <w:t xml:space="preserve">per dimostrare la conformità al presente criterio il progettista deve presentare una relazione di calcolo in cui si dimostri che la progettazione del sistema edificio-impianto è avvenuta tenendo conto di tutti i parametri che influenzano il comfort e che ha raggiunto almeno i valori di PMV e PPD richiesti per ottenere la classe B secondo la norma ISO 7730:2005. Tale relazione deve inoltre includere una descrizione delle caratteristiche progettuali volte a rispondere ai requisiti sui ponti termici. Qualora il progetto sia sottoposto ad una fase di verifica valida per la successiva certificazione dell’edificio secondo uno dei protocolli di sostenibilità energetico-ambientale degli edifici (rating systems) di livello nazionale o internazionale, la conformità al presente criterio può essere dimostrata se nella certificazione risultano soddisfatti tutti i requisiti riferibili alle prestazioni ambientali richiamate dal presente criterio. In tali casi il progettista è esonerato dalla presentazione della documentazione sopra indicata, ma è richiesta la presentazione degli elaborati e/o dei documenti previsti dallo specifico protocollo di certificazione di edilizia sostenibile perseguita. </w:t>
      </w:r>
    </w:p>
    <w:p w14:paraId="3273DD13" w14:textId="77777777" w:rsidR="00033992" w:rsidRPr="00FF6F51" w:rsidRDefault="00E954C6" w:rsidP="00CB031F">
      <w:pPr>
        <w:rPr>
          <w:rFonts w:ascii="Titillium" w:hAnsi="Titillium"/>
          <w:b/>
          <w:bCs/>
          <w:iCs/>
          <w:sz w:val="20"/>
          <w:szCs w:val="20"/>
        </w:rPr>
      </w:pPr>
      <w:r w:rsidRPr="00FF6F51">
        <w:rPr>
          <w:rFonts w:ascii="Titillium" w:hAnsi="Titillium"/>
          <w:b/>
          <w:bCs/>
          <w:iCs/>
          <w:sz w:val="20"/>
          <w:szCs w:val="20"/>
        </w:rPr>
        <w:t>Punto h)</w:t>
      </w:r>
      <w:r w:rsidR="00086F55" w:rsidRPr="00FF6F51">
        <w:rPr>
          <w:rFonts w:ascii="Titillium" w:hAnsi="Titillium"/>
          <w:b/>
          <w:bCs/>
          <w:iCs/>
          <w:sz w:val="20"/>
          <w:szCs w:val="20"/>
        </w:rPr>
        <w:t>:</w:t>
      </w:r>
      <w:r w:rsidRPr="00FF6F51">
        <w:rPr>
          <w:rFonts w:ascii="Titillium" w:hAnsi="Titillium"/>
          <w:b/>
          <w:bCs/>
          <w:iCs/>
          <w:sz w:val="20"/>
          <w:szCs w:val="20"/>
        </w:rPr>
        <w:t xml:space="preserve"> </w:t>
      </w:r>
      <w:r w:rsidRPr="00FF6F51">
        <w:rPr>
          <w:rFonts w:ascii="Titillium" w:hAnsi="Titillium"/>
          <w:sz w:val="20"/>
          <w:szCs w:val="20"/>
        </w:rPr>
        <w:t xml:space="preserve">per dimostrare la conformità al presente criterio il progettista deve presentare una relazione con i relativi elaborati grafici, nella quale siano evidenziati gli interventi che concorreranno alla mitigazione degli impatti da </w:t>
      </w:r>
      <w:r w:rsidRPr="00FF6F51">
        <w:rPr>
          <w:rFonts w:ascii="Titillium" w:hAnsi="Titillium"/>
          <w:sz w:val="20"/>
          <w:szCs w:val="20"/>
        </w:rPr>
        <w:lastRenderedPageBreak/>
        <w:t>esposizione al Radon e siano riportate le informazioni richieste sulle caratteristiche dei componenti, utili alla mitigazione del rischio. Deve essere allegata anche una documentazione fotografica che attesti l’esatta e corretta esecuzione delle opere con data sovraimpressa. Qualora il progetto sia sottoposto ad una fase di verifica valida per la successiva certificazione dell’edificio secondo uno dei protocolli di sostenibilità energetico-ambientale degli edifici (rating systems) di livello nazionale o internazionale, la conformità al presente criterio può essere dimostrata se nella certificazione risultano soddisfatti tutti i requisiti riferibili alle prestazioni ambientali richiamate dal presente criterio. In tali casi il progettista è esonerato dalla presentazione della documentazione sopra indicata, ma è richiesta la presentazione degli elaborati e/o dei documenti previsti dallo specifico protocollo di certificazione di edilizia sostenibile perseguita.</w:t>
      </w:r>
    </w:p>
    <w:p w14:paraId="21F50243" w14:textId="77777777" w:rsidR="00033992" w:rsidRPr="00FF6F51" w:rsidRDefault="00E954C6" w:rsidP="00CB031F">
      <w:pPr>
        <w:rPr>
          <w:rFonts w:ascii="Titillium" w:hAnsi="Titillium"/>
          <w:sz w:val="20"/>
          <w:szCs w:val="20"/>
        </w:rPr>
      </w:pPr>
      <w:r w:rsidRPr="00FF6F51">
        <w:rPr>
          <w:rFonts w:ascii="Titillium" w:hAnsi="Titillium"/>
          <w:b/>
          <w:bCs/>
          <w:iCs/>
          <w:sz w:val="20"/>
          <w:szCs w:val="20"/>
        </w:rPr>
        <w:t xml:space="preserve">Verifica criterio 16: </w:t>
      </w:r>
      <w:r w:rsidRPr="00FF6F51">
        <w:rPr>
          <w:rFonts w:ascii="Titillium" w:hAnsi="Titillium"/>
          <w:sz w:val="20"/>
          <w:szCs w:val="20"/>
        </w:rPr>
        <w:t xml:space="preserve">il progettista dovrà presentare il piano di manutenzione in cui, tra le informazioni già previste per legge, sia descritto il programma delle verifiche inerenti </w:t>
      </w:r>
      <w:proofErr w:type="gramStart"/>
      <w:r w:rsidRPr="00FF6F51">
        <w:rPr>
          <w:rFonts w:ascii="Titillium" w:hAnsi="Titillium"/>
          <w:sz w:val="20"/>
          <w:szCs w:val="20"/>
        </w:rPr>
        <w:t>le</w:t>
      </w:r>
      <w:proofErr w:type="gramEnd"/>
      <w:r w:rsidRPr="00FF6F51">
        <w:rPr>
          <w:rFonts w:ascii="Titillium" w:hAnsi="Titillium"/>
          <w:sz w:val="20"/>
          <w:szCs w:val="20"/>
        </w:rPr>
        <w:t xml:space="preserve"> prestazioni ambientali dell’edificio.</w:t>
      </w:r>
    </w:p>
    <w:p w14:paraId="4F648E71" w14:textId="77777777" w:rsidR="00E954C6" w:rsidRPr="00FF6F51" w:rsidRDefault="00E954C6" w:rsidP="00CB031F">
      <w:pPr>
        <w:rPr>
          <w:rFonts w:ascii="Titillium" w:hAnsi="Titillium"/>
          <w:b/>
          <w:bCs/>
          <w:iCs/>
          <w:sz w:val="20"/>
          <w:szCs w:val="20"/>
        </w:rPr>
      </w:pPr>
      <w:r w:rsidRPr="00FF6F51">
        <w:rPr>
          <w:rFonts w:ascii="Titillium" w:hAnsi="Titillium"/>
          <w:b/>
          <w:bCs/>
          <w:iCs/>
          <w:sz w:val="20"/>
          <w:szCs w:val="20"/>
        </w:rPr>
        <w:t>Verifica criterio 1</w:t>
      </w:r>
      <w:r w:rsidR="00185879" w:rsidRPr="00FF6F51">
        <w:rPr>
          <w:rFonts w:ascii="Titillium" w:hAnsi="Titillium"/>
          <w:b/>
          <w:bCs/>
          <w:iCs/>
          <w:sz w:val="20"/>
          <w:szCs w:val="20"/>
        </w:rPr>
        <w:t>7</w:t>
      </w:r>
      <w:r w:rsidRPr="00FF6F51">
        <w:rPr>
          <w:rFonts w:ascii="Titillium" w:hAnsi="Titillium"/>
          <w:b/>
          <w:bCs/>
          <w:iCs/>
          <w:sz w:val="20"/>
          <w:szCs w:val="20"/>
        </w:rPr>
        <w:t>:</w:t>
      </w:r>
      <w:r w:rsidR="00185879" w:rsidRPr="00FF6F51">
        <w:rPr>
          <w:rFonts w:ascii="Titillium" w:hAnsi="Titillium"/>
          <w:b/>
          <w:bCs/>
          <w:iCs/>
          <w:sz w:val="20"/>
          <w:szCs w:val="20"/>
        </w:rPr>
        <w:t xml:space="preserve"> </w:t>
      </w:r>
      <w:r w:rsidR="00185879" w:rsidRPr="00FF6F51">
        <w:rPr>
          <w:rFonts w:ascii="Titillium" w:hAnsi="Titillium"/>
          <w:sz w:val="20"/>
          <w:szCs w:val="20"/>
        </w:rPr>
        <w:t xml:space="preserve">il progettista dovrà presentare un piano inerente </w:t>
      </w:r>
      <w:proofErr w:type="gramStart"/>
      <w:r w:rsidR="00185879" w:rsidRPr="00FF6F51">
        <w:rPr>
          <w:rFonts w:ascii="Titillium" w:hAnsi="Titillium"/>
          <w:sz w:val="20"/>
          <w:szCs w:val="20"/>
        </w:rPr>
        <w:t>la</w:t>
      </w:r>
      <w:proofErr w:type="gramEnd"/>
      <w:r w:rsidR="00185879" w:rsidRPr="00FF6F51">
        <w:rPr>
          <w:rFonts w:ascii="Titillium" w:hAnsi="Titillium"/>
          <w:sz w:val="20"/>
          <w:szCs w:val="20"/>
        </w:rPr>
        <w:t xml:space="preserve"> fase di «fine vita» dell’edificio in cui sia presente l’elenco di tutti i materiali, componenti edilizi e degli elementi prefabbricati che possono essere in seguito riutilizzati o riciclati, con l’indicazione del relativo peso rispetto al peso totale dell’edificio.</w:t>
      </w:r>
    </w:p>
    <w:p w14:paraId="5FB9778A" w14:textId="77777777" w:rsidR="00033992" w:rsidRPr="00FF6F51" w:rsidRDefault="001F4125" w:rsidP="00CB031F">
      <w:pPr>
        <w:rPr>
          <w:rFonts w:ascii="Titillium" w:hAnsi="Titillium"/>
          <w:b/>
          <w:bCs/>
          <w:iCs/>
          <w:sz w:val="20"/>
          <w:szCs w:val="20"/>
        </w:rPr>
      </w:pPr>
      <w:r w:rsidRPr="00FF6F51">
        <w:rPr>
          <w:rFonts w:ascii="Titillium" w:hAnsi="Titillium"/>
          <w:b/>
          <w:bCs/>
          <w:iCs/>
          <w:sz w:val="20"/>
          <w:szCs w:val="20"/>
        </w:rPr>
        <w:t xml:space="preserve">Verifica criterio 18: </w:t>
      </w:r>
      <w:r w:rsidRPr="00FF6F51">
        <w:rPr>
          <w:rFonts w:ascii="Titillium" w:hAnsi="Titillium"/>
          <w:sz w:val="20"/>
          <w:szCs w:val="20"/>
        </w:rPr>
        <w:t>il progettista dovrà fornire l’elenco di tutti i componenti edilizi e dei materiali che possono essere riciclati o riutilizzati, con l’indicazione del relativo peso rispetto al peso totale dei materiali utilizzati per l’edificio</w:t>
      </w:r>
    </w:p>
    <w:p w14:paraId="692BD7F3" w14:textId="77777777" w:rsidR="001F4125" w:rsidRPr="00FF6F51" w:rsidRDefault="001F4125" w:rsidP="00CB031F">
      <w:pPr>
        <w:rPr>
          <w:rFonts w:ascii="Titillium" w:hAnsi="Titillium"/>
          <w:sz w:val="20"/>
          <w:szCs w:val="20"/>
        </w:rPr>
      </w:pPr>
      <w:r w:rsidRPr="00FF6F51">
        <w:rPr>
          <w:rFonts w:ascii="Titillium" w:hAnsi="Titillium"/>
          <w:b/>
          <w:bCs/>
          <w:iCs/>
          <w:sz w:val="20"/>
          <w:szCs w:val="20"/>
        </w:rPr>
        <w:t>Verifica</w:t>
      </w:r>
      <w:r w:rsidR="00086F55" w:rsidRPr="00FF6F51">
        <w:rPr>
          <w:rFonts w:ascii="Titillium" w:hAnsi="Titillium"/>
          <w:b/>
          <w:bCs/>
          <w:iCs/>
          <w:sz w:val="20"/>
          <w:szCs w:val="20"/>
        </w:rPr>
        <w:t xml:space="preserve"> </w:t>
      </w:r>
      <w:r w:rsidRPr="00FF6F51">
        <w:rPr>
          <w:rFonts w:ascii="Titillium" w:hAnsi="Titillium"/>
          <w:b/>
          <w:bCs/>
          <w:iCs/>
          <w:sz w:val="20"/>
          <w:szCs w:val="20"/>
        </w:rPr>
        <w:t>criteri 19-21-22</w:t>
      </w:r>
      <w:r w:rsidR="007611C3" w:rsidRPr="00FF6F51">
        <w:rPr>
          <w:rFonts w:ascii="Titillium" w:hAnsi="Titillium"/>
          <w:b/>
          <w:bCs/>
          <w:iCs/>
          <w:sz w:val="20"/>
          <w:szCs w:val="20"/>
        </w:rPr>
        <w:t>-23-25-26-28-29</w:t>
      </w:r>
      <w:r w:rsidRPr="00FF6F51">
        <w:rPr>
          <w:rFonts w:ascii="Titillium" w:hAnsi="Titillium"/>
          <w:b/>
          <w:bCs/>
          <w:iCs/>
          <w:sz w:val="20"/>
          <w:szCs w:val="20"/>
        </w:rPr>
        <w:t xml:space="preserve">: </w:t>
      </w:r>
      <w:r w:rsidRPr="00FF6F51">
        <w:rPr>
          <w:rFonts w:ascii="Titillium" w:hAnsi="Titillium"/>
          <w:sz w:val="20"/>
          <w:szCs w:val="20"/>
        </w:rPr>
        <w:t>il progettista deve fornire l’elenco dei materiali costituiti, anche parzialmente, da materie recuperate o riciclate ed il loro peso rispetto al peso totale dei materiali utilizzati per l’edificio. La percentuale di materia riciclata deve essere dimostrata tramite una delle seguenti opzioni:</w:t>
      </w:r>
    </w:p>
    <w:p w14:paraId="520877EB" w14:textId="77777777" w:rsidR="001F4125" w:rsidRPr="00FF6F51" w:rsidRDefault="001F4125" w:rsidP="00571841">
      <w:pPr>
        <w:numPr>
          <w:ilvl w:val="0"/>
          <w:numId w:val="13"/>
        </w:numPr>
        <w:rPr>
          <w:rFonts w:ascii="Titillium" w:hAnsi="Titillium"/>
          <w:b/>
          <w:bCs/>
          <w:iCs/>
          <w:sz w:val="20"/>
          <w:szCs w:val="20"/>
        </w:rPr>
      </w:pPr>
      <w:r w:rsidRPr="00FF6F51">
        <w:rPr>
          <w:rFonts w:ascii="Titillium" w:hAnsi="Titillium"/>
          <w:sz w:val="20"/>
          <w:szCs w:val="20"/>
        </w:rPr>
        <w:t xml:space="preserve">una dichiarazione ambientale di Prodotto di Tipo III (EPD), conforme alla norma UNI EN 15804 e alla norma ISO 14025, come </w:t>
      </w:r>
      <w:proofErr w:type="spellStart"/>
      <w:r w:rsidRPr="00FF6F51">
        <w:rPr>
          <w:rFonts w:ascii="Titillium" w:hAnsi="Titillium"/>
          <w:sz w:val="20"/>
          <w:szCs w:val="20"/>
        </w:rPr>
        <w:t>EPDItaly</w:t>
      </w:r>
      <w:proofErr w:type="spellEnd"/>
      <w:r w:rsidRPr="00FF6F51">
        <w:rPr>
          <w:rFonts w:ascii="Titillium" w:hAnsi="Titillium"/>
          <w:sz w:val="20"/>
          <w:szCs w:val="20"/>
        </w:rPr>
        <w:t xml:space="preserve">© o equivalenti; </w:t>
      </w:r>
    </w:p>
    <w:p w14:paraId="29ED48C4" w14:textId="77777777" w:rsidR="001F4125" w:rsidRPr="00FF6F51" w:rsidRDefault="001F4125" w:rsidP="00571841">
      <w:pPr>
        <w:numPr>
          <w:ilvl w:val="0"/>
          <w:numId w:val="13"/>
        </w:numPr>
        <w:rPr>
          <w:rFonts w:ascii="Titillium" w:hAnsi="Titillium"/>
          <w:b/>
          <w:bCs/>
          <w:iCs/>
          <w:sz w:val="20"/>
          <w:szCs w:val="20"/>
        </w:rPr>
      </w:pPr>
      <w:r w:rsidRPr="00FF6F51">
        <w:rPr>
          <w:rFonts w:ascii="Titillium" w:hAnsi="Titillium"/>
          <w:sz w:val="20"/>
          <w:szCs w:val="20"/>
        </w:rPr>
        <w:t xml:space="preserve">una certificazione di prodotto rilasciata da un organismo di valutazione della conformità che attesti il contenuto di riciclato attraverso l’esplicitazione del bilancio di massa, come </w:t>
      </w:r>
      <w:proofErr w:type="spellStart"/>
      <w:r w:rsidRPr="00FF6F51">
        <w:rPr>
          <w:rFonts w:ascii="Titillium" w:hAnsi="Titillium"/>
          <w:sz w:val="20"/>
          <w:szCs w:val="20"/>
        </w:rPr>
        <w:t>ReMade</w:t>
      </w:r>
      <w:proofErr w:type="spellEnd"/>
      <w:r w:rsidRPr="00FF6F51">
        <w:rPr>
          <w:rFonts w:ascii="Titillium" w:hAnsi="Titillium"/>
          <w:sz w:val="20"/>
          <w:szCs w:val="20"/>
        </w:rPr>
        <w:t xml:space="preserve"> in </w:t>
      </w:r>
      <w:proofErr w:type="spellStart"/>
      <w:r w:rsidRPr="00FF6F51">
        <w:rPr>
          <w:rFonts w:ascii="Titillium" w:hAnsi="Titillium"/>
          <w:sz w:val="20"/>
          <w:szCs w:val="20"/>
        </w:rPr>
        <w:t>Italy</w:t>
      </w:r>
      <w:proofErr w:type="spellEnd"/>
      <w:r w:rsidRPr="00FF6F51">
        <w:rPr>
          <w:rFonts w:ascii="Titillium" w:hAnsi="Titillium"/>
          <w:sz w:val="20"/>
          <w:szCs w:val="20"/>
        </w:rPr>
        <w:t xml:space="preserve">®, Plastica Seconda Vita o equivalenti; </w:t>
      </w:r>
    </w:p>
    <w:p w14:paraId="0F0D4B3E" w14:textId="77777777" w:rsidR="001F4125" w:rsidRPr="00FF6F51" w:rsidRDefault="001F4125" w:rsidP="00571841">
      <w:pPr>
        <w:numPr>
          <w:ilvl w:val="0"/>
          <w:numId w:val="13"/>
        </w:numPr>
        <w:rPr>
          <w:rFonts w:ascii="Titillium" w:hAnsi="Titillium"/>
          <w:b/>
          <w:bCs/>
          <w:iCs/>
          <w:sz w:val="20"/>
          <w:szCs w:val="20"/>
        </w:rPr>
      </w:pPr>
      <w:r w:rsidRPr="00FF6F51">
        <w:rPr>
          <w:rFonts w:ascii="Titillium" w:hAnsi="Titillium"/>
          <w:sz w:val="20"/>
          <w:szCs w:val="20"/>
        </w:rPr>
        <w:t xml:space="preserve">una certificazione di prodotto rilasciata da un organismo di valutazione della conformità che attesti il contenuto di riciclato attraverso l’esplicitazione del bilancio di massa che consiste nella verifica di una dichiarazione ambientale </w:t>
      </w:r>
      <w:proofErr w:type="spellStart"/>
      <w:r w:rsidRPr="00FF6F51">
        <w:rPr>
          <w:rFonts w:ascii="Titillium" w:hAnsi="Titillium"/>
          <w:sz w:val="20"/>
          <w:szCs w:val="20"/>
        </w:rPr>
        <w:t>autodichiarata</w:t>
      </w:r>
      <w:proofErr w:type="spellEnd"/>
      <w:r w:rsidRPr="00FF6F51">
        <w:rPr>
          <w:rFonts w:ascii="Titillium" w:hAnsi="Titillium"/>
          <w:sz w:val="20"/>
          <w:szCs w:val="20"/>
        </w:rPr>
        <w:t xml:space="preserve">, conforme alla norma ISO 14021. </w:t>
      </w:r>
    </w:p>
    <w:p w14:paraId="0C0C3A4E" w14:textId="77777777" w:rsidR="001F4125" w:rsidRPr="00FF6F51" w:rsidRDefault="001F4125" w:rsidP="001F4125">
      <w:pPr>
        <w:rPr>
          <w:rFonts w:ascii="Titillium" w:hAnsi="Titillium"/>
          <w:b/>
          <w:bCs/>
          <w:iCs/>
          <w:sz w:val="20"/>
          <w:szCs w:val="20"/>
        </w:rPr>
      </w:pPr>
      <w:r w:rsidRPr="00FF6F51">
        <w:rPr>
          <w:rFonts w:ascii="Titillium" w:hAnsi="Titillium"/>
          <w:sz w:val="20"/>
          <w:szCs w:val="20"/>
        </w:rPr>
        <w:t>Qualora l’azienda produttrice non fosse in possesso delle certificazioni richiamate ai punti precedenti, è ammesso presentare un rapporto di ispezione rilasciato da un organismo di ispezione, in conformità alla ISO/IEC 17020:2012, che attesti il contenuto di materia recuperata o riciclata nel prodotto. In questo caso è necessario procedere ad un’attività ispettiva durante l’esecuzione delle opere. Tale documentazione dovrà essere presentata alla stazione appaltante in fase di esecuzione dei lavori, nelle modalità indicate nel relativo capitolato.</w:t>
      </w:r>
    </w:p>
    <w:p w14:paraId="4C257F54" w14:textId="77777777" w:rsidR="00033992" w:rsidRPr="00FF6F51" w:rsidRDefault="001F4125" w:rsidP="00CB031F">
      <w:pPr>
        <w:rPr>
          <w:rFonts w:ascii="Titillium" w:hAnsi="Titillium"/>
          <w:b/>
          <w:bCs/>
          <w:iCs/>
          <w:sz w:val="20"/>
          <w:szCs w:val="20"/>
        </w:rPr>
      </w:pPr>
      <w:r w:rsidRPr="00FF6F51">
        <w:rPr>
          <w:rFonts w:ascii="Titillium" w:hAnsi="Titillium"/>
          <w:b/>
          <w:bCs/>
          <w:iCs/>
          <w:sz w:val="20"/>
          <w:szCs w:val="20"/>
        </w:rPr>
        <w:t xml:space="preserve">Verifica criterio 20: </w:t>
      </w:r>
      <w:r w:rsidRPr="00FF6F51">
        <w:rPr>
          <w:rFonts w:ascii="Titillium" w:hAnsi="Titillium"/>
          <w:sz w:val="20"/>
          <w:szCs w:val="20"/>
        </w:rPr>
        <w:t xml:space="preserve">per quanto riguarda la verifica del punto 1, l’appaltatore deve presentare dei rapporti di prova rilasciati da organismi di valutazione della conformità. Per la verifica dei punti 2 e 3 l’appaltatore deve presentare una </w:t>
      </w:r>
      <w:r w:rsidRPr="00FF6F51">
        <w:rPr>
          <w:rFonts w:ascii="Titillium" w:hAnsi="Titillium"/>
          <w:sz w:val="20"/>
          <w:szCs w:val="20"/>
        </w:rPr>
        <w:lastRenderedPageBreak/>
        <w:t>dichiarazione del legale rappresentante da cui risulti il rispetto degli stessi. Tale dichiarazione dovrà includere una relazione redatta in base alle Schede di Sicurezza messe a disposizione dai produttori</w:t>
      </w:r>
    </w:p>
    <w:p w14:paraId="55928DCF" w14:textId="77777777" w:rsidR="00033992" w:rsidRPr="00FF6F51" w:rsidRDefault="001F4125" w:rsidP="00CB031F">
      <w:pPr>
        <w:rPr>
          <w:rFonts w:ascii="Titillium" w:hAnsi="Titillium"/>
          <w:b/>
          <w:bCs/>
          <w:iCs/>
          <w:sz w:val="20"/>
          <w:szCs w:val="20"/>
        </w:rPr>
      </w:pPr>
      <w:r w:rsidRPr="00FF6F51">
        <w:rPr>
          <w:rFonts w:ascii="Titillium" w:hAnsi="Titillium"/>
          <w:b/>
          <w:bCs/>
          <w:iCs/>
          <w:sz w:val="20"/>
          <w:szCs w:val="20"/>
        </w:rPr>
        <w:t>Verifica criterio 24:</w:t>
      </w:r>
      <w:r w:rsidR="007611C3" w:rsidRPr="00FF6F51">
        <w:rPr>
          <w:rFonts w:ascii="Titillium" w:hAnsi="Titillium"/>
          <w:b/>
          <w:bCs/>
          <w:iCs/>
          <w:sz w:val="20"/>
          <w:szCs w:val="20"/>
        </w:rPr>
        <w:t xml:space="preserve"> </w:t>
      </w:r>
      <w:r w:rsidR="007611C3" w:rsidRPr="00FF6F51">
        <w:rPr>
          <w:rFonts w:ascii="Titillium" w:hAnsi="Titillium"/>
          <w:sz w:val="20"/>
          <w:szCs w:val="20"/>
        </w:rPr>
        <w:t xml:space="preserve">Verifica: il progettista deve scegliere prodotti che consentono di rispondere al criterio e deve prescrivere che in fase di approvvigionamento l’appaltatore dovrà accertarsi della rispondenza al criterio tramite la documentazione nel seguito indicata, che dovrà essere presentata alla stazione appaltante in fase di esecuzione dei lavori, nelle modalità indicate nel relativo capitolato: per la prova di origine sostenibile e/o responsabile, una certificazione del prodotto, rilasciata da organismi di valutazione della conformità, che garantisca il controllo della «catena di custodia» in relazione alla provenienza legale della materia prima legnosa e da foreste gestite in maniera sostenibile/responsabile, quali quella del </w:t>
      </w:r>
      <w:proofErr w:type="spellStart"/>
      <w:r w:rsidR="007611C3" w:rsidRPr="00FF6F51">
        <w:rPr>
          <w:rFonts w:ascii="Titillium" w:hAnsi="Titillium"/>
          <w:sz w:val="20"/>
          <w:szCs w:val="20"/>
        </w:rPr>
        <w:t>Forest</w:t>
      </w:r>
      <w:proofErr w:type="spellEnd"/>
      <w:r w:rsidR="007611C3" w:rsidRPr="00FF6F51">
        <w:rPr>
          <w:rFonts w:ascii="Titillium" w:hAnsi="Titillium"/>
          <w:sz w:val="20"/>
          <w:szCs w:val="20"/>
        </w:rPr>
        <w:t xml:space="preserve"> </w:t>
      </w:r>
      <w:proofErr w:type="spellStart"/>
      <w:r w:rsidR="007611C3" w:rsidRPr="00FF6F51">
        <w:rPr>
          <w:rFonts w:ascii="Titillium" w:hAnsi="Titillium"/>
          <w:sz w:val="20"/>
          <w:szCs w:val="20"/>
        </w:rPr>
        <w:t>Stewardship</w:t>
      </w:r>
      <w:proofErr w:type="spellEnd"/>
      <w:r w:rsidR="007611C3" w:rsidRPr="00FF6F51">
        <w:rPr>
          <w:rFonts w:ascii="Titillium" w:hAnsi="Titillium"/>
          <w:sz w:val="20"/>
          <w:szCs w:val="20"/>
        </w:rPr>
        <w:t xml:space="preserve"> </w:t>
      </w:r>
      <w:proofErr w:type="spellStart"/>
      <w:r w:rsidR="007611C3" w:rsidRPr="00FF6F51">
        <w:rPr>
          <w:rFonts w:ascii="Titillium" w:hAnsi="Titillium"/>
          <w:sz w:val="20"/>
          <w:szCs w:val="20"/>
        </w:rPr>
        <w:t>Council</w:t>
      </w:r>
      <w:proofErr w:type="spellEnd"/>
      <w:r w:rsidR="007611C3" w:rsidRPr="00FF6F51">
        <w:rPr>
          <w:rFonts w:ascii="Titillium" w:hAnsi="Titillium"/>
          <w:sz w:val="20"/>
          <w:szCs w:val="20"/>
        </w:rPr>
        <w:t xml:space="preserve">® (FSC®) o del </w:t>
      </w:r>
      <w:proofErr w:type="spellStart"/>
      <w:r w:rsidR="007611C3" w:rsidRPr="00FF6F51">
        <w:rPr>
          <w:rFonts w:ascii="Titillium" w:hAnsi="Titillium"/>
          <w:sz w:val="20"/>
          <w:szCs w:val="20"/>
        </w:rPr>
        <w:t>Programme</w:t>
      </w:r>
      <w:proofErr w:type="spellEnd"/>
      <w:r w:rsidR="007611C3" w:rsidRPr="00FF6F51">
        <w:rPr>
          <w:rFonts w:ascii="Titillium" w:hAnsi="Titillium"/>
          <w:sz w:val="20"/>
          <w:szCs w:val="20"/>
        </w:rPr>
        <w:t xml:space="preserve"> for Endorsement of </w:t>
      </w:r>
      <w:proofErr w:type="spellStart"/>
      <w:r w:rsidR="007611C3" w:rsidRPr="00FF6F51">
        <w:rPr>
          <w:rFonts w:ascii="Titillium" w:hAnsi="Titillium"/>
          <w:sz w:val="20"/>
          <w:szCs w:val="20"/>
        </w:rPr>
        <w:t>Forest</w:t>
      </w:r>
      <w:proofErr w:type="spellEnd"/>
      <w:r w:rsidR="007611C3" w:rsidRPr="00FF6F51">
        <w:rPr>
          <w:rFonts w:ascii="Titillium" w:hAnsi="Titillium"/>
          <w:sz w:val="20"/>
          <w:szCs w:val="20"/>
        </w:rPr>
        <w:t xml:space="preserve"> </w:t>
      </w:r>
      <w:proofErr w:type="spellStart"/>
      <w:r w:rsidR="007611C3" w:rsidRPr="00FF6F51">
        <w:rPr>
          <w:rFonts w:ascii="Titillium" w:hAnsi="Titillium"/>
          <w:sz w:val="20"/>
          <w:szCs w:val="20"/>
        </w:rPr>
        <w:t>Certification</w:t>
      </w:r>
      <w:proofErr w:type="spellEnd"/>
      <w:r w:rsidR="007611C3" w:rsidRPr="00FF6F51">
        <w:rPr>
          <w:rFonts w:ascii="Titillium" w:hAnsi="Titillium"/>
          <w:sz w:val="20"/>
          <w:szCs w:val="20"/>
        </w:rPr>
        <w:t xml:space="preserve"> </w:t>
      </w:r>
      <w:proofErr w:type="spellStart"/>
      <w:r w:rsidR="007611C3" w:rsidRPr="00FF6F51">
        <w:rPr>
          <w:rFonts w:ascii="Titillium" w:hAnsi="Titillium"/>
          <w:sz w:val="20"/>
          <w:szCs w:val="20"/>
        </w:rPr>
        <w:t>schemes</w:t>
      </w:r>
      <w:proofErr w:type="spellEnd"/>
      <w:r w:rsidR="007611C3" w:rsidRPr="00FF6F51">
        <w:rPr>
          <w:rFonts w:ascii="Titillium" w:hAnsi="Titillium"/>
          <w:sz w:val="20"/>
          <w:szCs w:val="20"/>
        </w:rPr>
        <w:t xml:space="preserve">™ (PEFC™), o altro equivalente; per il legno riciclato, certificazione di prodotto «FSC® Riciclato» (oppure «FSC® </w:t>
      </w:r>
      <w:proofErr w:type="spellStart"/>
      <w:r w:rsidR="007611C3" w:rsidRPr="00FF6F51">
        <w:rPr>
          <w:rFonts w:ascii="Titillium" w:hAnsi="Titillium"/>
          <w:sz w:val="20"/>
          <w:szCs w:val="20"/>
        </w:rPr>
        <w:t>Recycled</w:t>
      </w:r>
      <w:proofErr w:type="spellEnd"/>
      <w:r w:rsidR="007611C3" w:rsidRPr="00FF6F51">
        <w:rPr>
          <w:rFonts w:ascii="Titillium" w:hAnsi="Titillium"/>
          <w:sz w:val="20"/>
          <w:szCs w:val="20"/>
        </w:rPr>
        <w:t xml:space="preserve">»), FSC® misto (oppure FSC® mixed) o «Riciclato PEFC™» (oppure PEFC </w:t>
      </w:r>
      <w:proofErr w:type="spellStart"/>
      <w:r w:rsidR="007611C3" w:rsidRPr="00FF6F51">
        <w:rPr>
          <w:rFonts w:ascii="Titillium" w:hAnsi="Titillium"/>
          <w:sz w:val="20"/>
          <w:szCs w:val="20"/>
        </w:rPr>
        <w:t>Recycled</w:t>
      </w:r>
      <w:proofErr w:type="spellEnd"/>
      <w:r w:rsidR="007611C3" w:rsidRPr="00FF6F51">
        <w:rPr>
          <w:rFonts w:ascii="Titillium" w:hAnsi="Titillium"/>
          <w:sz w:val="20"/>
          <w:szCs w:val="20"/>
        </w:rPr>
        <w:t xml:space="preserve">™) o </w:t>
      </w:r>
      <w:proofErr w:type="spellStart"/>
      <w:r w:rsidR="007611C3" w:rsidRPr="00FF6F51">
        <w:rPr>
          <w:rFonts w:ascii="Titillium" w:hAnsi="Titillium"/>
          <w:sz w:val="20"/>
          <w:szCs w:val="20"/>
        </w:rPr>
        <w:t>ReMade</w:t>
      </w:r>
      <w:proofErr w:type="spellEnd"/>
      <w:r w:rsidR="007611C3" w:rsidRPr="00FF6F51">
        <w:rPr>
          <w:rFonts w:ascii="Titillium" w:hAnsi="Titillium"/>
          <w:sz w:val="20"/>
          <w:szCs w:val="20"/>
        </w:rPr>
        <w:t xml:space="preserve"> in </w:t>
      </w:r>
      <w:proofErr w:type="spellStart"/>
      <w:r w:rsidR="007611C3" w:rsidRPr="00FF6F51">
        <w:rPr>
          <w:rFonts w:ascii="Titillium" w:hAnsi="Titillium"/>
          <w:sz w:val="20"/>
          <w:szCs w:val="20"/>
        </w:rPr>
        <w:t>Italy</w:t>
      </w:r>
      <w:proofErr w:type="spellEnd"/>
      <w:r w:rsidR="007611C3" w:rsidRPr="00FF6F51">
        <w:rPr>
          <w:rFonts w:ascii="Titillium" w:hAnsi="Titillium"/>
          <w:sz w:val="20"/>
          <w:szCs w:val="20"/>
        </w:rPr>
        <w:t>® o equivalenti, oppure una asserzione ambientale del produttore conforme alla norma ISO 14021 che sia verificata da un organismo di valutazione della conformità</w:t>
      </w:r>
    </w:p>
    <w:p w14:paraId="7257254C" w14:textId="77777777" w:rsidR="00033992" w:rsidRPr="00FF6F51" w:rsidRDefault="001F4125" w:rsidP="00CB031F">
      <w:pPr>
        <w:rPr>
          <w:rFonts w:ascii="Titillium" w:hAnsi="Titillium"/>
          <w:b/>
          <w:bCs/>
          <w:iCs/>
          <w:sz w:val="20"/>
          <w:szCs w:val="20"/>
        </w:rPr>
      </w:pPr>
      <w:r w:rsidRPr="00FF6F51">
        <w:rPr>
          <w:rFonts w:ascii="Titillium" w:hAnsi="Titillium"/>
          <w:b/>
          <w:bCs/>
          <w:iCs/>
          <w:sz w:val="20"/>
          <w:szCs w:val="20"/>
        </w:rPr>
        <w:t>Verifica criterio 27:</w:t>
      </w:r>
      <w:r w:rsidR="007611C3" w:rsidRPr="00FF6F51">
        <w:rPr>
          <w:rFonts w:ascii="Titillium" w:hAnsi="Titillium"/>
          <w:b/>
          <w:bCs/>
          <w:iCs/>
          <w:sz w:val="20"/>
          <w:szCs w:val="20"/>
        </w:rPr>
        <w:t xml:space="preserve"> </w:t>
      </w:r>
      <w:r w:rsidR="007611C3" w:rsidRPr="00FF6F51">
        <w:rPr>
          <w:rFonts w:ascii="Titillium" w:hAnsi="Titillium"/>
          <w:sz w:val="20"/>
          <w:szCs w:val="20"/>
        </w:rPr>
        <w:t>il progettista deve compiere scelte tecniche di progetto che consentano di soddisfare il criterio e deve prescrivere che in fase di approvvigionamento l’appaltatore dovrà accertarsi della rispondenza al criterio e dovrà fornire una dichiarazione firmata dal legale rappresentante della ditta produttrice che attesti la conformità al criterio e che includa l’impegno ad accettare un’ispezione da parte di un organismo di valutazione della conformità volta a verificare la veridicità delle informazioni rese. Tale documentazione dovrà essere presentata alla stazione appaltante in fase di esecuzione dei lavori, nelle modalità indicate nel relativo capitolato.</w:t>
      </w:r>
    </w:p>
    <w:p w14:paraId="143ED26B" w14:textId="77777777" w:rsidR="007611C3" w:rsidRPr="00FF6F51" w:rsidRDefault="007611C3" w:rsidP="007611C3">
      <w:pPr>
        <w:rPr>
          <w:rFonts w:ascii="Titillium" w:hAnsi="Titillium"/>
          <w:sz w:val="20"/>
          <w:szCs w:val="20"/>
        </w:rPr>
      </w:pPr>
      <w:r w:rsidRPr="00FF6F51">
        <w:rPr>
          <w:rFonts w:ascii="Titillium" w:hAnsi="Titillium"/>
          <w:b/>
          <w:bCs/>
          <w:iCs/>
          <w:sz w:val="20"/>
          <w:szCs w:val="20"/>
        </w:rPr>
        <w:t xml:space="preserve">Verifica criterio 30-31: </w:t>
      </w:r>
      <w:r w:rsidRPr="00FF6F51">
        <w:rPr>
          <w:rFonts w:ascii="Titillium" w:hAnsi="Titillium"/>
          <w:sz w:val="20"/>
          <w:szCs w:val="20"/>
        </w:rPr>
        <w:t xml:space="preserve">il progettista deve prescrivere che in fase di approvvigionamento l’appaltatore dovrà accertarsi della rispondenza al criterio utilizzando prodotti recanti alternativamente: </w:t>
      </w:r>
    </w:p>
    <w:p w14:paraId="491B0573" w14:textId="77777777" w:rsidR="007611C3" w:rsidRPr="00FF6F51" w:rsidRDefault="007611C3" w:rsidP="00571841">
      <w:pPr>
        <w:numPr>
          <w:ilvl w:val="0"/>
          <w:numId w:val="13"/>
        </w:numPr>
        <w:rPr>
          <w:rFonts w:ascii="Titillium" w:hAnsi="Titillium"/>
          <w:sz w:val="20"/>
          <w:szCs w:val="20"/>
        </w:rPr>
      </w:pPr>
      <w:r w:rsidRPr="00FF6F51">
        <w:rPr>
          <w:rFonts w:ascii="Titillium" w:hAnsi="Titillium"/>
          <w:sz w:val="20"/>
          <w:szCs w:val="20"/>
        </w:rPr>
        <w:t xml:space="preserve">il Marchio Ecolabel UE o equivalente; </w:t>
      </w:r>
    </w:p>
    <w:p w14:paraId="2CACD78F" w14:textId="77777777" w:rsidR="007611C3" w:rsidRPr="00FF6F51" w:rsidRDefault="007611C3" w:rsidP="00571841">
      <w:pPr>
        <w:numPr>
          <w:ilvl w:val="0"/>
          <w:numId w:val="13"/>
        </w:numPr>
        <w:rPr>
          <w:rFonts w:ascii="Titillium" w:hAnsi="Titillium"/>
          <w:sz w:val="20"/>
          <w:szCs w:val="20"/>
        </w:rPr>
      </w:pPr>
      <w:r w:rsidRPr="00FF6F51">
        <w:rPr>
          <w:rFonts w:ascii="Titillium" w:hAnsi="Titillium"/>
          <w:sz w:val="20"/>
          <w:szCs w:val="20"/>
        </w:rPr>
        <w:t xml:space="preserve">una dichiarazione ambientale di Tipo III, conforme alla norma UNI EN 15804 e alla norma ISO 14025 da cui si evinca il rispetto del presente criterio. Ciò può essere verificato se nella dichiarazione ambientale sono presenti le informazioni specifiche relative ai criteri sopra richiamati. </w:t>
      </w:r>
    </w:p>
    <w:p w14:paraId="7DD64710" w14:textId="77777777" w:rsidR="007611C3" w:rsidRPr="00FF6F51" w:rsidRDefault="007611C3" w:rsidP="007611C3">
      <w:pPr>
        <w:rPr>
          <w:rFonts w:ascii="Titillium" w:hAnsi="Titillium"/>
          <w:sz w:val="20"/>
          <w:szCs w:val="20"/>
        </w:rPr>
      </w:pPr>
      <w:r w:rsidRPr="00FF6F51">
        <w:rPr>
          <w:rFonts w:ascii="Titillium" w:hAnsi="Titillium"/>
          <w:sz w:val="20"/>
          <w:szCs w:val="20"/>
        </w:rPr>
        <w:t>E, in mancanza di questi, la documentazione comprovante il rispetto del presente criterio validata da un organismo di valutazione della conformità, dovrà essere presentata alla stazione appaltante in fase di esecuzione dei lavori, nelle modalità indicate nel relativo capitolato.</w:t>
      </w:r>
    </w:p>
    <w:p w14:paraId="207120E8" w14:textId="77777777" w:rsidR="007611C3" w:rsidRPr="00FF6F51" w:rsidRDefault="007611C3" w:rsidP="007611C3">
      <w:pPr>
        <w:rPr>
          <w:rFonts w:ascii="Titillium" w:hAnsi="Titillium"/>
          <w:iCs/>
          <w:sz w:val="20"/>
          <w:szCs w:val="20"/>
        </w:rPr>
      </w:pPr>
      <w:r w:rsidRPr="00FF6F51">
        <w:rPr>
          <w:rFonts w:ascii="Titillium" w:hAnsi="Titillium"/>
          <w:b/>
          <w:bCs/>
          <w:iCs/>
          <w:sz w:val="20"/>
          <w:szCs w:val="20"/>
        </w:rPr>
        <w:t>Verifica criterio 32:</w:t>
      </w:r>
      <w:r w:rsidR="005251D6" w:rsidRPr="00FF6F51">
        <w:rPr>
          <w:rFonts w:ascii="Titillium" w:hAnsi="Titillium"/>
          <w:b/>
          <w:bCs/>
          <w:iCs/>
          <w:sz w:val="20"/>
          <w:szCs w:val="20"/>
        </w:rPr>
        <w:t xml:space="preserve"> </w:t>
      </w:r>
      <w:r w:rsidR="005251D6" w:rsidRPr="00FF6F51">
        <w:rPr>
          <w:rFonts w:ascii="Titillium" w:hAnsi="Titillium"/>
          <w:sz w:val="20"/>
          <w:szCs w:val="20"/>
        </w:rPr>
        <w:t>il progettista deve presentare una relazione tecnica che dimostri il soddisfacimento del criterio, corredata dalle schede tecniche delle lampade</w:t>
      </w:r>
    </w:p>
    <w:p w14:paraId="2F0833EE" w14:textId="77777777" w:rsidR="007611C3" w:rsidRPr="00FF6F51" w:rsidRDefault="007611C3" w:rsidP="007611C3">
      <w:pPr>
        <w:rPr>
          <w:rFonts w:ascii="Titillium" w:hAnsi="Titillium"/>
          <w:iCs/>
          <w:sz w:val="20"/>
          <w:szCs w:val="20"/>
        </w:rPr>
      </w:pPr>
      <w:r w:rsidRPr="00FF6F51">
        <w:rPr>
          <w:rFonts w:ascii="Titillium" w:hAnsi="Titillium"/>
          <w:b/>
          <w:bCs/>
          <w:iCs/>
          <w:sz w:val="20"/>
          <w:szCs w:val="20"/>
        </w:rPr>
        <w:t>Verifica criterio 33:</w:t>
      </w:r>
      <w:r w:rsidR="005251D6" w:rsidRPr="00FF6F51">
        <w:rPr>
          <w:rFonts w:ascii="Titillium" w:hAnsi="Titillium"/>
          <w:b/>
          <w:bCs/>
          <w:iCs/>
          <w:sz w:val="20"/>
          <w:szCs w:val="20"/>
        </w:rPr>
        <w:t xml:space="preserve"> </w:t>
      </w:r>
      <w:r w:rsidR="005251D6" w:rsidRPr="00FF6F51">
        <w:rPr>
          <w:rFonts w:ascii="Titillium" w:hAnsi="Titillium"/>
          <w:sz w:val="20"/>
          <w:szCs w:val="20"/>
        </w:rPr>
        <w:t xml:space="preserve">il progettista deve presentare una relazione tecnica che illustri le scelte tecniche che consentono il soddisfacimento del criterio, individuando chiaramente nel progetto anche i locali tecnici destinati ad alloggiare esclusivamente apparecchiature e macchine, indicando gli spazi minimi obbligatori, così come richiesto dai costruttori nei manuali di uso e manutenzione, per effettuare gli interventi di sostituzione/ manutenzione delle apparecchiature stesse, i punti di accesso ai fini manutentivi lungo tutti i percorsi dei circuiti degli impianti tecnologici, qualunque sia il </w:t>
      </w:r>
      <w:r w:rsidR="005251D6" w:rsidRPr="00FF6F51">
        <w:rPr>
          <w:rFonts w:ascii="Titillium" w:hAnsi="Titillium"/>
          <w:sz w:val="20"/>
          <w:szCs w:val="20"/>
        </w:rPr>
        <w:lastRenderedPageBreak/>
        <w:t>fluido veicolato all’interno degli stessi. Il progettista deve prescrivere che in fase di approvvigionamento l’appaltatore dovrà accertarsi della rispondenza al criterio utilizzando prodotti recanti il marchio Ecolabel UE o equivalente</w:t>
      </w:r>
    </w:p>
    <w:p w14:paraId="68BD0E85" w14:textId="77777777" w:rsidR="007611C3" w:rsidRPr="00FF6F51" w:rsidRDefault="007611C3" w:rsidP="007611C3">
      <w:pPr>
        <w:rPr>
          <w:rFonts w:ascii="Titillium" w:hAnsi="Titillium"/>
          <w:iCs/>
          <w:sz w:val="20"/>
          <w:szCs w:val="20"/>
        </w:rPr>
      </w:pPr>
      <w:r w:rsidRPr="00FF6F51">
        <w:rPr>
          <w:rFonts w:ascii="Titillium" w:hAnsi="Titillium"/>
          <w:b/>
          <w:bCs/>
          <w:iCs/>
          <w:sz w:val="20"/>
          <w:szCs w:val="20"/>
        </w:rPr>
        <w:t>Verifica criterio 34:</w:t>
      </w:r>
      <w:r w:rsidR="00834EFD" w:rsidRPr="00FF6F51">
        <w:rPr>
          <w:rFonts w:ascii="Titillium" w:hAnsi="Titillium"/>
          <w:b/>
          <w:bCs/>
          <w:iCs/>
          <w:sz w:val="20"/>
          <w:szCs w:val="20"/>
        </w:rPr>
        <w:t xml:space="preserve"> </w:t>
      </w:r>
      <w:r w:rsidR="005251D6" w:rsidRPr="00FF6F51">
        <w:rPr>
          <w:rFonts w:ascii="Titillium" w:hAnsi="Titillium"/>
          <w:sz w:val="20"/>
          <w:szCs w:val="20"/>
        </w:rPr>
        <w:t>il progettista deve presentare una relazione tecnica che dimostri il soddisfacimento del criterio e deve prescrivere che in fase di approvvigionamento l’appaltatore dovrà accertarsi della rispondenza al criterio utilizzando prodotti recanti alternativamente: la documentazione comprovante il rispetto del presente criterio dovrà essere presentata alla stazione appaltante in fase di esecuzione dei lavori, nelle modalità indicate nel relativo capitolato.</w:t>
      </w:r>
    </w:p>
    <w:p w14:paraId="37E2F516" w14:textId="77777777" w:rsidR="007611C3" w:rsidRPr="00FF6F51" w:rsidRDefault="00834EFD" w:rsidP="007611C3">
      <w:pPr>
        <w:rPr>
          <w:rFonts w:ascii="Titillium" w:hAnsi="Titillium"/>
          <w:b/>
          <w:bCs/>
          <w:iCs/>
          <w:sz w:val="20"/>
          <w:szCs w:val="20"/>
        </w:rPr>
      </w:pPr>
      <w:r w:rsidRPr="00FF6F51">
        <w:rPr>
          <w:rFonts w:ascii="Titillium" w:hAnsi="Titillium"/>
          <w:b/>
          <w:bCs/>
          <w:iCs/>
          <w:sz w:val="20"/>
          <w:szCs w:val="20"/>
        </w:rPr>
        <w:t xml:space="preserve">Verifica criterio 35: </w:t>
      </w:r>
      <w:r w:rsidRPr="00FF6F51">
        <w:rPr>
          <w:rFonts w:ascii="Titillium" w:hAnsi="Titillium"/>
          <w:sz w:val="20"/>
          <w:szCs w:val="20"/>
        </w:rPr>
        <w:t>l’offerente deve presentare una verifica precedente alla demolizione che contenga le informazioni specificate nel criterio, allegare un piano di demolizione e recupero e una sottoscrizione di impegno a trattare i rifiuti da demolizione o a conferirli ad un impianto autorizzato al recupero dei rifiuti</w:t>
      </w:r>
    </w:p>
    <w:p w14:paraId="18E10EA2" w14:textId="77777777" w:rsidR="00834EFD" w:rsidRPr="00FF6F51" w:rsidRDefault="00834EFD" w:rsidP="007611C3">
      <w:pPr>
        <w:rPr>
          <w:rFonts w:ascii="Titillium" w:hAnsi="Titillium"/>
          <w:iCs/>
          <w:sz w:val="20"/>
          <w:szCs w:val="20"/>
        </w:rPr>
      </w:pPr>
      <w:r w:rsidRPr="00FF6F51">
        <w:rPr>
          <w:rFonts w:ascii="Titillium" w:hAnsi="Titillium"/>
          <w:b/>
          <w:bCs/>
          <w:iCs/>
          <w:sz w:val="20"/>
          <w:szCs w:val="20"/>
        </w:rPr>
        <w:t>Verifica criterio 36:</w:t>
      </w:r>
      <w:r w:rsidRPr="00FF6F51">
        <w:rPr>
          <w:rFonts w:ascii="Titillium" w:hAnsi="Titillium"/>
          <w:sz w:val="20"/>
          <w:szCs w:val="20"/>
        </w:rPr>
        <w:t xml:space="preserve"> l’offerente deve presentare la documentazione di verifica come previsto per ogni criterio, dal criterio 18 al criterio 34.</w:t>
      </w:r>
    </w:p>
    <w:p w14:paraId="0CFB14D4" w14:textId="77777777" w:rsidR="002D54F8" w:rsidRPr="00FF6F51" w:rsidRDefault="00834EFD" w:rsidP="00CB031F">
      <w:pPr>
        <w:rPr>
          <w:rFonts w:ascii="Titillium" w:hAnsi="Titillium"/>
          <w:sz w:val="20"/>
          <w:szCs w:val="20"/>
        </w:rPr>
      </w:pPr>
      <w:r w:rsidRPr="00FF6F51">
        <w:rPr>
          <w:rFonts w:ascii="Titillium" w:hAnsi="Titillium"/>
          <w:b/>
          <w:bCs/>
          <w:iCs/>
          <w:sz w:val="20"/>
          <w:szCs w:val="20"/>
        </w:rPr>
        <w:t xml:space="preserve">Verifica criterio 37: </w:t>
      </w:r>
      <w:r w:rsidR="002D54F8" w:rsidRPr="00FF6F51">
        <w:rPr>
          <w:rFonts w:ascii="Titillium" w:hAnsi="Titillium"/>
          <w:sz w:val="20"/>
          <w:szCs w:val="20"/>
        </w:rPr>
        <w:t xml:space="preserve">l’offerente deve dimostrare la rispondenza ai criteri suindicati tramite la documentazione nel seguito indicata: </w:t>
      </w:r>
    </w:p>
    <w:p w14:paraId="175AB06E" w14:textId="77777777" w:rsidR="002D54F8" w:rsidRPr="00FF6F51" w:rsidRDefault="002D54F8" w:rsidP="00571841">
      <w:pPr>
        <w:numPr>
          <w:ilvl w:val="0"/>
          <w:numId w:val="13"/>
        </w:numPr>
        <w:rPr>
          <w:rFonts w:ascii="Titillium" w:hAnsi="Titillium"/>
          <w:b/>
          <w:bCs/>
          <w:iCs/>
          <w:sz w:val="20"/>
          <w:szCs w:val="20"/>
        </w:rPr>
      </w:pPr>
      <w:r w:rsidRPr="00FF6F51">
        <w:rPr>
          <w:rFonts w:ascii="Titillium" w:hAnsi="Titillium"/>
          <w:sz w:val="20"/>
          <w:szCs w:val="20"/>
        </w:rPr>
        <w:t xml:space="preserve">relazione tecnica nella quale siano evidenziate le azioni previste per la riduzione dell’impatto ambientale nel rispetto dei criteri; </w:t>
      </w:r>
    </w:p>
    <w:p w14:paraId="0D2F3445" w14:textId="77777777" w:rsidR="002D54F8" w:rsidRPr="00FF6F51" w:rsidRDefault="002D54F8" w:rsidP="00571841">
      <w:pPr>
        <w:numPr>
          <w:ilvl w:val="0"/>
          <w:numId w:val="13"/>
        </w:numPr>
        <w:rPr>
          <w:rFonts w:ascii="Titillium" w:hAnsi="Titillium"/>
          <w:b/>
          <w:bCs/>
          <w:iCs/>
          <w:sz w:val="20"/>
          <w:szCs w:val="20"/>
        </w:rPr>
      </w:pPr>
      <w:r w:rsidRPr="00FF6F51">
        <w:rPr>
          <w:rFonts w:ascii="Titillium" w:hAnsi="Titillium"/>
          <w:sz w:val="20"/>
          <w:szCs w:val="20"/>
        </w:rPr>
        <w:t xml:space="preserve">piano per il controllo dell’erosione e della sedimentazione per le attività di cantiere; </w:t>
      </w:r>
    </w:p>
    <w:p w14:paraId="66F4F968" w14:textId="77777777" w:rsidR="002D54F8" w:rsidRPr="00FF6F51" w:rsidRDefault="002D54F8" w:rsidP="00571841">
      <w:pPr>
        <w:numPr>
          <w:ilvl w:val="0"/>
          <w:numId w:val="13"/>
        </w:numPr>
        <w:rPr>
          <w:rFonts w:ascii="Titillium" w:hAnsi="Titillium"/>
          <w:b/>
          <w:bCs/>
          <w:iCs/>
          <w:sz w:val="20"/>
          <w:szCs w:val="20"/>
        </w:rPr>
      </w:pPr>
      <w:r w:rsidRPr="00FF6F51">
        <w:rPr>
          <w:rFonts w:ascii="Titillium" w:hAnsi="Titillium"/>
          <w:sz w:val="20"/>
          <w:szCs w:val="20"/>
        </w:rPr>
        <w:t xml:space="preserve">piano per la gestione dei rifiuti da cantiere e per il controllo della qualità dell’aria e dell’inquinamento acustico durante le attività di cantiere. </w:t>
      </w:r>
    </w:p>
    <w:p w14:paraId="5F10E96A" w14:textId="77777777" w:rsidR="007611C3" w:rsidRPr="00FF6F51" w:rsidRDefault="002D54F8" w:rsidP="002D54F8">
      <w:pPr>
        <w:rPr>
          <w:rFonts w:ascii="Titillium" w:hAnsi="Titillium"/>
          <w:b/>
          <w:bCs/>
          <w:iCs/>
          <w:sz w:val="20"/>
          <w:szCs w:val="20"/>
        </w:rPr>
      </w:pPr>
      <w:r w:rsidRPr="00FF6F51">
        <w:rPr>
          <w:rFonts w:ascii="Titillium" w:hAnsi="Titillium"/>
          <w:sz w:val="20"/>
          <w:szCs w:val="20"/>
        </w:rPr>
        <w:t>L’attività di cantiere sarà oggetto di verifica programmata, effettuata da un organismo di valutazione della conformità. Qualora il progetto sia sottoposto ad una fase di verifica valida per la successiva certificazione dell’edificio secondo uno dei protocolli di sostenibilità energetico-ambientale degli edifici (rating systems) di livello nazionale o internazionale, la conformità al presente criterio può essere dimostrata se nella certificazione risultano soddisfatti tutti i requisiti riferibili alle prestazioni ambientali richiamate dal presente criterio. In tali casi il progettista è esonerato dalla presentazione della documentazione sopra indicata, ma è richiesta la presentazione degli elaborati e/o dei documenti previsti dallo specifico protocollo di certificazione di edilizia sostenibile perseguita.</w:t>
      </w:r>
    </w:p>
    <w:p w14:paraId="26D77129" w14:textId="77777777" w:rsidR="00834EFD" w:rsidRPr="00FF6F51" w:rsidRDefault="00834EFD" w:rsidP="00CB031F">
      <w:pPr>
        <w:rPr>
          <w:rFonts w:ascii="Titillium" w:hAnsi="Titillium"/>
          <w:b/>
          <w:bCs/>
          <w:iCs/>
          <w:sz w:val="20"/>
          <w:szCs w:val="20"/>
        </w:rPr>
      </w:pPr>
      <w:r w:rsidRPr="00FF6F51">
        <w:rPr>
          <w:rFonts w:ascii="Titillium" w:hAnsi="Titillium"/>
          <w:b/>
          <w:bCs/>
          <w:iCs/>
          <w:sz w:val="20"/>
          <w:szCs w:val="20"/>
        </w:rPr>
        <w:t>Verifica criterio 3</w:t>
      </w:r>
      <w:r w:rsidR="002D54F8" w:rsidRPr="00FF6F51">
        <w:rPr>
          <w:rFonts w:ascii="Titillium" w:hAnsi="Titillium"/>
          <w:b/>
          <w:bCs/>
          <w:iCs/>
          <w:sz w:val="20"/>
          <w:szCs w:val="20"/>
        </w:rPr>
        <w:t>8</w:t>
      </w:r>
      <w:r w:rsidRPr="00FF6F51">
        <w:rPr>
          <w:rFonts w:ascii="Titillium" w:hAnsi="Titillium"/>
          <w:b/>
          <w:bCs/>
          <w:iCs/>
          <w:sz w:val="20"/>
          <w:szCs w:val="20"/>
        </w:rPr>
        <w:t>:</w:t>
      </w:r>
      <w:r w:rsidR="00AD4C6C" w:rsidRPr="00FF6F51">
        <w:rPr>
          <w:rFonts w:ascii="Titillium" w:hAnsi="Titillium"/>
          <w:b/>
          <w:bCs/>
          <w:iCs/>
          <w:sz w:val="20"/>
          <w:szCs w:val="20"/>
        </w:rPr>
        <w:t xml:space="preserve"> </w:t>
      </w:r>
      <w:r w:rsidR="00AD4C6C" w:rsidRPr="00FF6F51">
        <w:rPr>
          <w:rFonts w:ascii="Titillium" w:hAnsi="Titillium"/>
          <w:sz w:val="20"/>
          <w:szCs w:val="20"/>
        </w:rPr>
        <w:t>l’offerente deve presentare in fase di offerta, idonea documentazione attestante la formazione del personale, quale ad esempio curriculum, diplomi, attestati, etc.</w:t>
      </w:r>
    </w:p>
    <w:p w14:paraId="321CE9B8" w14:textId="77777777" w:rsidR="00834EFD" w:rsidRPr="00FF6F51" w:rsidRDefault="00834EFD" w:rsidP="00CB031F">
      <w:pPr>
        <w:rPr>
          <w:rFonts w:ascii="Titillium" w:hAnsi="Titillium"/>
          <w:b/>
          <w:bCs/>
          <w:iCs/>
          <w:sz w:val="20"/>
          <w:szCs w:val="20"/>
        </w:rPr>
      </w:pPr>
      <w:r w:rsidRPr="00FF6F51">
        <w:rPr>
          <w:rFonts w:ascii="Titillium" w:hAnsi="Titillium"/>
          <w:b/>
          <w:bCs/>
          <w:iCs/>
          <w:sz w:val="20"/>
          <w:szCs w:val="20"/>
        </w:rPr>
        <w:t>Verifica criterio 3</w:t>
      </w:r>
      <w:r w:rsidR="002D54F8" w:rsidRPr="00FF6F51">
        <w:rPr>
          <w:rFonts w:ascii="Titillium" w:hAnsi="Titillium"/>
          <w:b/>
          <w:bCs/>
          <w:iCs/>
          <w:sz w:val="20"/>
          <w:szCs w:val="20"/>
        </w:rPr>
        <w:t>9</w:t>
      </w:r>
      <w:r w:rsidRPr="00FF6F51">
        <w:rPr>
          <w:rFonts w:ascii="Titillium" w:hAnsi="Titillium"/>
          <w:b/>
          <w:bCs/>
          <w:iCs/>
          <w:sz w:val="20"/>
          <w:szCs w:val="20"/>
        </w:rPr>
        <w:t>:</w:t>
      </w:r>
      <w:r w:rsidR="00AD4C6C" w:rsidRPr="00FF6F51">
        <w:rPr>
          <w:rFonts w:ascii="Titillium" w:hAnsi="Titillium"/>
          <w:b/>
          <w:bCs/>
          <w:iCs/>
          <w:sz w:val="20"/>
          <w:szCs w:val="20"/>
        </w:rPr>
        <w:t xml:space="preserve"> </w:t>
      </w:r>
      <w:r w:rsidR="00AD4C6C" w:rsidRPr="00FF6F51">
        <w:rPr>
          <w:rFonts w:ascii="Titillium" w:hAnsi="Titillium"/>
          <w:sz w:val="20"/>
          <w:szCs w:val="20"/>
        </w:rPr>
        <w:t>l’offerente deve presentare una dichiarazione del legale rappresentante che attesti che tali prestazioni e requisiti dei materiali, dei componenti e delle lavorazioni saranno rispettati e documentati nel corso dell’attività di cantiere.</w:t>
      </w:r>
    </w:p>
    <w:p w14:paraId="13DF479B" w14:textId="3D775EBA" w:rsidR="00DC0018" w:rsidRDefault="00DC0018" w:rsidP="00DC0018">
      <w:pPr>
        <w:pStyle w:val="regolamento"/>
        <w:widowControl/>
        <w:jc w:val="left"/>
        <w:rPr>
          <w:rFonts w:ascii="Times New Roman" w:hAnsi="Times New Roman" w:cs="Times New Roman"/>
        </w:rPr>
      </w:pPr>
      <w:r>
        <w:rPr>
          <w:rFonts w:ascii="Times New Roman" w:hAnsi="Times New Roman" w:cs="Times New Roman"/>
        </w:rPr>
        <w:t>Luogo e d</w:t>
      </w:r>
      <w:r w:rsidRPr="000F39F6">
        <w:rPr>
          <w:rFonts w:ascii="Times New Roman" w:hAnsi="Times New Roman" w:cs="Times New Roman"/>
        </w:rPr>
        <w:t>ata____________</w:t>
      </w:r>
      <w:r>
        <w:rPr>
          <w:rFonts w:ascii="Times New Roman" w:hAnsi="Times New Roman" w:cs="Times New Roman"/>
        </w:rPr>
        <w:t>__________</w:t>
      </w:r>
      <w:r w:rsidRPr="000F39F6">
        <w:rPr>
          <w:rFonts w:ascii="Times New Roman" w:hAnsi="Times New Roman" w:cs="Times New Roman"/>
        </w:rPr>
        <w:tab/>
      </w:r>
      <w:r w:rsidRPr="000F39F6">
        <w:rPr>
          <w:rFonts w:ascii="Times New Roman" w:hAnsi="Times New Roman" w:cs="Times New Roman"/>
        </w:rPr>
        <w:tab/>
      </w:r>
      <w:r w:rsidRPr="000F39F6">
        <w:rPr>
          <w:rFonts w:ascii="Times New Roman" w:hAnsi="Times New Roman" w:cs="Times New Roman"/>
        </w:rPr>
        <w:tab/>
      </w:r>
      <w:r w:rsidRPr="000F39F6">
        <w:rPr>
          <w:rFonts w:ascii="Times New Roman" w:hAnsi="Times New Roman" w:cs="Times New Roman"/>
        </w:rPr>
        <w:tab/>
      </w:r>
      <w:r w:rsidRPr="000F39F6">
        <w:rPr>
          <w:rFonts w:ascii="Times New Roman" w:hAnsi="Times New Roman" w:cs="Times New Roman"/>
        </w:rPr>
        <w:tab/>
      </w:r>
      <w:r w:rsidRPr="000F39F6">
        <w:rPr>
          <w:rFonts w:ascii="Times New Roman" w:hAnsi="Times New Roman" w:cs="Times New Roman"/>
        </w:rPr>
        <w:tab/>
      </w:r>
      <w:r>
        <w:rPr>
          <w:rFonts w:ascii="Times New Roman" w:hAnsi="Times New Roman" w:cs="Times New Roman"/>
        </w:rPr>
        <w:t xml:space="preserve">        </w:t>
      </w:r>
      <w:r w:rsidRPr="000F39F6">
        <w:rPr>
          <w:rFonts w:ascii="Times New Roman" w:hAnsi="Times New Roman" w:cs="Times New Roman"/>
        </w:rPr>
        <w:t>FIRMA</w:t>
      </w:r>
      <w:r>
        <w:rPr>
          <w:rFonts w:ascii="Times New Roman" w:hAnsi="Times New Roman" w:cs="Times New Roman"/>
        </w:rPr>
        <w:t xml:space="preserve">    </w:t>
      </w:r>
    </w:p>
    <w:p w14:paraId="4027CA80" w14:textId="57CC8019" w:rsidR="00DC0018" w:rsidRDefault="00DC0018" w:rsidP="00DC0018">
      <w:pPr>
        <w:pStyle w:val="regolamento"/>
        <w:widowControl/>
        <w:jc w:val="left"/>
        <w:rPr>
          <w:rFonts w:ascii="Times New Roman" w:hAnsi="Times New Roman" w:cs="Times New Roman"/>
        </w:rPr>
      </w:pPr>
    </w:p>
    <w:p w14:paraId="5B5B2F19" w14:textId="705AA77D" w:rsidR="00DC0018" w:rsidRDefault="00DC0018" w:rsidP="00DC0018">
      <w:pPr>
        <w:pStyle w:val="regolamento"/>
        <w:widowControl/>
        <w:jc w:val="left"/>
        <w:rPr>
          <w:rFonts w:ascii="Times New Roman" w:hAnsi="Times New Roman" w:cs="Times New Roman"/>
          <w:iCs/>
          <w:sz w:val="18"/>
          <w:vertAlign w:val="superscript"/>
        </w:rPr>
      </w:pPr>
    </w:p>
    <w:p w14:paraId="60D85B5F" w14:textId="77777777" w:rsidR="00DC0018" w:rsidRDefault="00DC0018" w:rsidP="00DC0018">
      <w:pPr>
        <w:pStyle w:val="regolamento"/>
        <w:widowControl/>
        <w:jc w:val="left"/>
        <w:rPr>
          <w:rFonts w:ascii="Times New Roman" w:hAnsi="Times New Roman" w:cs="Times New Roman"/>
          <w:iCs/>
          <w:sz w:val="18"/>
          <w:vertAlign w:val="superscript"/>
        </w:rPr>
      </w:pPr>
    </w:p>
    <w:p w14:paraId="77CACB83" w14:textId="77777777" w:rsidR="00DC0018" w:rsidRPr="000F39F6" w:rsidRDefault="00DC0018" w:rsidP="00DC0018">
      <w:pPr>
        <w:pStyle w:val="regolamento"/>
        <w:widowControl/>
        <w:jc w:val="right"/>
        <w:rPr>
          <w:rFonts w:ascii="Times New Roman" w:hAnsi="Times New Roman" w:cs="Times New Roman"/>
          <w:iCs/>
          <w:sz w:val="18"/>
          <w:vertAlign w:val="superscript"/>
        </w:rPr>
      </w:pPr>
    </w:p>
    <w:p w14:paraId="39EE685C" w14:textId="052DD2E4" w:rsidR="00DC0018" w:rsidRDefault="00DC0018" w:rsidP="00DC0018">
      <w:pPr>
        <w:pStyle w:val="regolamento"/>
        <w:widowControl/>
        <w:jc w:val="center"/>
        <w:rPr>
          <w:rFonts w:ascii="Times New Roman" w:hAnsi="Times New Roman" w:cs="Times New Roman"/>
          <w:iCs/>
          <w:sz w:val="18"/>
          <w:vertAlign w:val="superscript"/>
        </w:rPr>
      </w:pPr>
      <w:r>
        <w:rPr>
          <w:rFonts w:ascii="Times New Roman" w:hAnsi="Times New Roman" w:cs="Times New Roman"/>
          <w:iCs/>
          <w:sz w:val="18"/>
          <w:vertAlign w:val="superscript"/>
        </w:rPr>
        <w:t xml:space="preserve">                                                                                                                                                                                                                   _____________</w:t>
      </w:r>
      <w:r w:rsidRPr="000F39F6">
        <w:rPr>
          <w:rFonts w:ascii="Times New Roman" w:hAnsi="Times New Roman" w:cs="Times New Roman"/>
          <w:iCs/>
          <w:sz w:val="18"/>
          <w:vertAlign w:val="superscript"/>
        </w:rPr>
        <w:t>__________________________________________</w:t>
      </w:r>
    </w:p>
    <w:p w14:paraId="4A002C33" w14:textId="03AC8349" w:rsidR="00407C8E" w:rsidRDefault="00407C8E" w:rsidP="00DC0018">
      <w:pPr>
        <w:pStyle w:val="regolamento"/>
        <w:widowControl/>
        <w:jc w:val="center"/>
        <w:rPr>
          <w:rFonts w:ascii="Times New Roman" w:hAnsi="Times New Roman" w:cs="Times New Roman"/>
          <w:iCs/>
          <w:sz w:val="18"/>
          <w:vertAlign w:val="superscript"/>
        </w:rPr>
      </w:pPr>
    </w:p>
    <w:p w14:paraId="0C354A6F" w14:textId="73753FAA" w:rsidR="00407C8E" w:rsidRDefault="00407C8E" w:rsidP="00DC0018">
      <w:pPr>
        <w:pStyle w:val="regolamento"/>
        <w:widowControl/>
        <w:jc w:val="center"/>
        <w:rPr>
          <w:rFonts w:ascii="Times New Roman" w:hAnsi="Times New Roman" w:cs="Times New Roman"/>
          <w:iCs/>
          <w:sz w:val="18"/>
          <w:vertAlign w:val="superscript"/>
        </w:rPr>
      </w:pPr>
    </w:p>
    <w:p w14:paraId="5D33E3AE" w14:textId="77777777" w:rsidR="00407C8E" w:rsidRDefault="00407C8E" w:rsidP="00407C8E">
      <w:pPr>
        <w:autoSpaceDE w:val="0"/>
        <w:autoSpaceDN w:val="0"/>
        <w:adjustRightInd w:val="0"/>
        <w:rPr>
          <w:b/>
          <w:i/>
          <w:color w:val="333333"/>
          <w:sz w:val="18"/>
          <w:szCs w:val="18"/>
        </w:rPr>
      </w:pPr>
      <w:r>
        <w:rPr>
          <w:b/>
          <w:i/>
          <w:color w:val="333333"/>
          <w:sz w:val="18"/>
          <w:szCs w:val="18"/>
        </w:rPr>
        <w:t>Informativa ai sensi dell’art. 13 del Regolamento (UE) 679/2016 recante norme sul trattamento dei dati personali.</w:t>
      </w:r>
    </w:p>
    <w:p w14:paraId="2AB27AAE" w14:textId="77777777" w:rsidR="00407C8E" w:rsidRDefault="00407C8E" w:rsidP="00407C8E">
      <w:pPr>
        <w:autoSpaceDE w:val="0"/>
        <w:autoSpaceDN w:val="0"/>
        <w:adjustRightInd w:val="0"/>
        <w:spacing w:before="0" w:after="0" w:line="240" w:lineRule="auto"/>
        <w:rPr>
          <w:i/>
          <w:color w:val="333333"/>
          <w:sz w:val="18"/>
          <w:szCs w:val="18"/>
        </w:rPr>
      </w:pPr>
      <w:r>
        <w:rPr>
          <w:i/>
          <w:color w:val="333333"/>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w:t>
      </w:r>
      <w:hyperlink r:id="rId14" w:history="1">
        <w:r>
          <w:rPr>
            <w:rStyle w:val="Collegamentoipertestuale"/>
            <w:i/>
            <w:sz w:val="18"/>
            <w:szCs w:val="18"/>
          </w:rPr>
          <w:t>ateneo@pec.unina.it</w:t>
        </w:r>
      </w:hyperlink>
      <w:r>
        <w:rPr>
          <w:i/>
          <w:color w:val="333333"/>
          <w:sz w:val="18"/>
          <w:szCs w:val="18"/>
        </w:rPr>
        <w:t xml:space="preserve">; oppure al Responsabile della Protezione dei Dati: </w:t>
      </w:r>
      <w:hyperlink r:id="rId15" w:history="1">
        <w:r>
          <w:rPr>
            <w:rStyle w:val="Collegamentoipertestuale"/>
            <w:i/>
            <w:sz w:val="18"/>
            <w:szCs w:val="18"/>
          </w:rPr>
          <w:t>rpd@unina.it</w:t>
        </w:r>
      </w:hyperlink>
      <w:r>
        <w:rPr>
          <w:i/>
          <w:color w:val="333333"/>
          <w:sz w:val="18"/>
          <w:szCs w:val="18"/>
        </w:rPr>
        <w:t xml:space="preserve">; PEC: </w:t>
      </w:r>
      <w:hyperlink r:id="rId16" w:history="1">
        <w:r>
          <w:rPr>
            <w:rStyle w:val="Collegamentoipertestuale"/>
            <w:i/>
            <w:sz w:val="18"/>
            <w:szCs w:val="18"/>
          </w:rPr>
          <w:t>rpd@pec.unina.it</w:t>
        </w:r>
      </w:hyperlink>
      <w:r>
        <w:rPr>
          <w:i/>
          <w:color w:val="333333"/>
          <w:sz w:val="18"/>
          <w:szCs w:val="18"/>
        </w:rPr>
        <w:t>.</w:t>
      </w:r>
    </w:p>
    <w:p w14:paraId="0D869F11" w14:textId="77777777" w:rsidR="00407C8E" w:rsidRDefault="00407C8E" w:rsidP="00407C8E">
      <w:pPr>
        <w:autoSpaceDE w:val="0"/>
        <w:autoSpaceDN w:val="0"/>
        <w:adjustRightInd w:val="0"/>
        <w:spacing w:before="0" w:after="0" w:line="240" w:lineRule="auto"/>
        <w:rPr>
          <w:i/>
          <w:color w:val="333333"/>
          <w:sz w:val="18"/>
          <w:szCs w:val="18"/>
        </w:rPr>
      </w:pPr>
      <w:r>
        <w:rPr>
          <w:i/>
          <w:color w:val="333333"/>
          <w:sz w:val="18"/>
          <w:szCs w:val="18"/>
        </w:rPr>
        <w:t xml:space="preserve">Agli interessati competono i diritti di cui agli artt. 15-22 del Regolamento UE. </w:t>
      </w:r>
      <w:proofErr w:type="gramStart"/>
      <w:r>
        <w:rPr>
          <w:i/>
          <w:color w:val="333333"/>
          <w:sz w:val="18"/>
          <w:szCs w:val="18"/>
        </w:rPr>
        <w:t>Le informazioni complete relative al trattamento dei dati personali raccolti,</w:t>
      </w:r>
      <w:proofErr w:type="gramEnd"/>
      <w:r>
        <w:rPr>
          <w:i/>
          <w:color w:val="333333"/>
          <w:sz w:val="18"/>
          <w:szCs w:val="18"/>
        </w:rPr>
        <w:t xml:space="preserve"> sono riportate sul sito dell’Ateneo: </w:t>
      </w:r>
      <w:hyperlink r:id="rId17" w:history="1">
        <w:r>
          <w:rPr>
            <w:rStyle w:val="Collegamentoipertestuale"/>
            <w:i/>
            <w:sz w:val="18"/>
            <w:szCs w:val="18"/>
          </w:rPr>
          <w:t>http://www.unina.it/ateneo/statuto-e-normativa/privacy</w:t>
        </w:r>
      </w:hyperlink>
    </w:p>
    <w:p w14:paraId="0090F518" w14:textId="77777777" w:rsidR="00407C8E" w:rsidRDefault="00407C8E" w:rsidP="00407C8E">
      <w:pPr>
        <w:autoSpaceDE w:val="0"/>
        <w:autoSpaceDN w:val="0"/>
        <w:adjustRightInd w:val="0"/>
        <w:rPr>
          <w:color w:val="333333"/>
          <w:sz w:val="18"/>
          <w:szCs w:val="18"/>
        </w:rPr>
      </w:pPr>
    </w:p>
    <w:p w14:paraId="74185790" w14:textId="77777777" w:rsidR="00407C8E" w:rsidRDefault="00407C8E" w:rsidP="00DC0018">
      <w:pPr>
        <w:pStyle w:val="regolamento"/>
        <w:widowControl/>
        <w:jc w:val="center"/>
        <w:rPr>
          <w:rFonts w:ascii="Times New Roman" w:hAnsi="Times New Roman" w:cs="Times New Roman"/>
          <w:iCs/>
          <w:sz w:val="18"/>
          <w:vertAlign w:val="superscript"/>
        </w:rPr>
      </w:pPr>
    </w:p>
    <w:sectPr w:rsidR="00407C8E" w:rsidSect="00DC0018">
      <w:headerReference w:type="default" r:id="rId18"/>
      <w:footerReference w:type="default" r:id="rId19"/>
      <w:pgSz w:w="11906" w:h="16838"/>
      <w:pgMar w:top="1418" w:right="1134" w:bottom="1134" w:left="1134" w:header="709" w:footer="315"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D0C11" w14:textId="77777777" w:rsidR="007A6841" w:rsidRDefault="007A6841">
      <w:r>
        <w:separator/>
      </w:r>
    </w:p>
  </w:endnote>
  <w:endnote w:type="continuationSeparator" w:id="0">
    <w:p w14:paraId="5C333729" w14:textId="77777777" w:rsidR="007A6841" w:rsidRDefault="007A6841">
      <w:r>
        <w:continuationSeparator/>
      </w:r>
    </w:p>
  </w:endnote>
  <w:endnote w:type="continuationNotice" w:id="1">
    <w:p w14:paraId="7F2CF79F" w14:textId="77777777" w:rsidR="007A6841" w:rsidRDefault="007A6841">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itillium">
    <w:altName w:val="Calibri"/>
    <w:panose1 w:val="020B0604020202020204"/>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A921D" w14:textId="344E8271" w:rsidR="00DC0018" w:rsidRPr="00DC0018" w:rsidRDefault="00DC0018">
    <w:pPr>
      <w:pStyle w:val="Pidipagina"/>
      <w:jc w:val="right"/>
      <w:rPr>
        <w:i/>
        <w:iCs/>
        <w:sz w:val="20"/>
        <w:szCs w:val="20"/>
      </w:rPr>
    </w:pPr>
    <w:r w:rsidRPr="00DC0018">
      <w:rPr>
        <w:i/>
        <w:iCs/>
        <w:sz w:val="20"/>
        <w:szCs w:val="20"/>
      </w:rPr>
      <w:fldChar w:fldCharType="begin"/>
    </w:r>
    <w:r w:rsidRPr="00DC0018">
      <w:rPr>
        <w:i/>
        <w:iCs/>
        <w:sz w:val="20"/>
        <w:szCs w:val="20"/>
      </w:rPr>
      <w:instrText>PAGE   \* MERGEFORMAT</w:instrText>
    </w:r>
    <w:r w:rsidRPr="00DC0018">
      <w:rPr>
        <w:i/>
        <w:iCs/>
        <w:sz w:val="20"/>
        <w:szCs w:val="20"/>
      </w:rPr>
      <w:fldChar w:fldCharType="separate"/>
    </w:r>
    <w:r w:rsidR="00443306">
      <w:rPr>
        <w:i/>
        <w:iCs/>
        <w:noProof/>
        <w:sz w:val="20"/>
        <w:szCs w:val="20"/>
      </w:rPr>
      <w:t>2</w:t>
    </w:r>
    <w:r w:rsidRPr="00DC0018">
      <w:rPr>
        <w:i/>
        <w:iCs/>
        <w:sz w:val="20"/>
        <w:szCs w:val="20"/>
      </w:rPr>
      <w:fldChar w:fldCharType="end"/>
    </w:r>
  </w:p>
  <w:p w14:paraId="238E30E7" w14:textId="77777777" w:rsidR="00453F16" w:rsidRDefault="00453F16" w:rsidP="006454B6">
    <w:pPr>
      <w:pStyle w:val="Pidipagina"/>
      <w:spacing w:before="0" w:after="0" w:line="240" w:lineRule="auto"/>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74DDD" w14:textId="77777777" w:rsidR="007A6841" w:rsidRDefault="007A6841">
      <w:r>
        <w:separator/>
      </w:r>
    </w:p>
  </w:footnote>
  <w:footnote w:type="continuationSeparator" w:id="0">
    <w:p w14:paraId="335F70D2" w14:textId="77777777" w:rsidR="007A6841" w:rsidRDefault="007A6841">
      <w:r>
        <w:continuationSeparator/>
      </w:r>
    </w:p>
  </w:footnote>
  <w:footnote w:type="continuationNotice" w:id="1">
    <w:p w14:paraId="68F6A92B" w14:textId="77777777" w:rsidR="007A6841" w:rsidRDefault="007A6841">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340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402"/>
    </w:tblGrid>
    <w:tr w:rsidR="00407C8E" w:rsidRPr="00096F2D" w14:paraId="00E69B76" w14:textId="77777777" w:rsidTr="00407C8E">
      <w:trPr>
        <w:trHeight w:val="990"/>
      </w:trPr>
      <w:tc>
        <w:tcPr>
          <w:tcW w:w="3402" w:type="dxa"/>
          <w:vAlign w:val="center"/>
        </w:tcPr>
        <w:p w14:paraId="655B76BA" w14:textId="2433A74B" w:rsidR="00407C8E" w:rsidRPr="00CA082F" w:rsidRDefault="00407C8E" w:rsidP="00CA082F">
          <w:pPr>
            <w:tabs>
              <w:tab w:val="center" w:pos="4819"/>
              <w:tab w:val="right" w:pos="9638"/>
            </w:tabs>
            <w:spacing w:before="0" w:after="0" w:line="240" w:lineRule="auto"/>
            <w:jc w:val="center"/>
            <w:rPr>
              <w:b/>
              <w:sz w:val="20"/>
              <w:szCs w:val="20"/>
            </w:rPr>
          </w:pPr>
          <w:r>
            <w:rPr>
              <w:b/>
              <w:sz w:val="20"/>
              <w:szCs w:val="20"/>
            </w:rPr>
            <w:t>Dichiarazione requisiti minimi</w:t>
          </w:r>
        </w:p>
      </w:tc>
    </w:tr>
  </w:tbl>
  <w:p w14:paraId="0FDB496A" w14:textId="77777777" w:rsidR="00453F16" w:rsidRPr="00BC388F" w:rsidRDefault="00453F16" w:rsidP="00E647BB">
    <w:pPr>
      <w:pStyle w:val="Intestazione"/>
      <w:tabs>
        <w:tab w:val="clear" w:pos="4819"/>
        <w:tab w:val="clear" w:pos="9638"/>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D728B6"/>
    <w:multiLevelType w:val="hybridMultilevel"/>
    <w:tmpl w:val="8DF0B7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2B55726"/>
    <w:multiLevelType w:val="hybridMultilevel"/>
    <w:tmpl w:val="5FEE82E2"/>
    <w:lvl w:ilvl="0" w:tplc="45BC9736">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10"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E02757D"/>
    <w:multiLevelType w:val="hybridMultilevel"/>
    <w:tmpl w:val="35E6008A"/>
    <w:lvl w:ilvl="0" w:tplc="44C0FCAA">
      <w:start w:val="1"/>
      <w:numFmt w:val="bullet"/>
      <w:lvlText w:val="▪"/>
      <w:lvlJc w:val="left"/>
      <w:pPr>
        <w:ind w:left="720" w:hanging="3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3" w15:restartNumberingAfterBreak="0">
    <w:nsid w:val="35037FAD"/>
    <w:multiLevelType w:val="hybridMultilevel"/>
    <w:tmpl w:val="68726A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5" w15:restartNumberingAfterBreak="0">
    <w:nsid w:val="36CE399F"/>
    <w:multiLevelType w:val="hybridMultilevel"/>
    <w:tmpl w:val="11FEBC80"/>
    <w:lvl w:ilvl="0" w:tplc="113C669E">
      <w:start w:val="1"/>
      <w:numFmt w:val="bullet"/>
      <w:lvlText w:val="-"/>
      <w:lvlJc w:val="left"/>
      <w:pPr>
        <w:ind w:left="720" w:hanging="360"/>
      </w:pPr>
      <w:rPr>
        <w:rFonts w:ascii="Times New Roman" w:eastAsia="Times New Roman" w:hAnsi="Times New Roman"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1A46621"/>
    <w:multiLevelType w:val="hybridMultilevel"/>
    <w:tmpl w:val="12FC92C8"/>
    <w:lvl w:ilvl="0" w:tplc="419C56C4">
      <w:start w:val="1"/>
      <w:numFmt w:val="lowerLetter"/>
      <w:lvlText w:val="%1)"/>
      <w:lvlJc w:val="left"/>
      <w:pPr>
        <w:ind w:left="720" w:hanging="360"/>
      </w:pPr>
      <w:rPr>
        <w:rFonts w:hint="default"/>
        <w:color w:val="00000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DD4167F"/>
    <w:multiLevelType w:val="hybridMultilevel"/>
    <w:tmpl w:val="4D0AFE3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EA134A8"/>
    <w:multiLevelType w:val="hybridMultilevel"/>
    <w:tmpl w:val="67E65F5E"/>
    <w:lvl w:ilvl="0" w:tplc="15DA8F08">
      <w:start w:val="1"/>
      <w:numFmt w:val="lowerLetter"/>
      <w:lvlText w:val="%1)"/>
      <w:lvlJc w:val="left"/>
      <w:pPr>
        <w:ind w:left="720" w:hanging="360"/>
      </w:pPr>
      <w:rPr>
        <w:rFonts w:ascii="Times New Roman" w:eastAsia="Times New Roman" w:hAnsi="Times New Roman"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1" w15:restartNumberingAfterBreak="0">
    <w:nsid w:val="7F1A563C"/>
    <w:multiLevelType w:val="hybridMultilevel"/>
    <w:tmpl w:val="91B4515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03299434">
    <w:abstractNumId w:val="9"/>
  </w:num>
  <w:num w:numId="2" w16cid:durableId="417605181">
    <w:abstractNumId w:val="4"/>
  </w:num>
  <w:num w:numId="3" w16cid:durableId="1156652417">
    <w:abstractNumId w:val="6"/>
  </w:num>
  <w:num w:numId="4" w16cid:durableId="1432552854">
    <w:abstractNumId w:val="12"/>
  </w:num>
  <w:num w:numId="5" w16cid:durableId="526715762">
    <w:abstractNumId w:val="20"/>
  </w:num>
  <w:num w:numId="6" w16cid:durableId="939920842">
    <w:abstractNumId w:val="16"/>
  </w:num>
  <w:num w:numId="7" w16cid:durableId="1515536739">
    <w:abstractNumId w:val="10"/>
  </w:num>
  <w:num w:numId="8" w16cid:durableId="109131308">
    <w:abstractNumId w:val="5"/>
  </w:num>
  <w:num w:numId="9" w16cid:durableId="2033650498">
    <w:abstractNumId w:val="1"/>
  </w:num>
  <w:num w:numId="10" w16cid:durableId="116991052">
    <w:abstractNumId w:val="3"/>
  </w:num>
  <w:num w:numId="11" w16cid:durableId="1604265405">
    <w:abstractNumId w:val="19"/>
  </w:num>
  <w:num w:numId="12" w16cid:durableId="1870677785">
    <w:abstractNumId w:val="7"/>
  </w:num>
  <w:num w:numId="13" w16cid:durableId="860583034">
    <w:abstractNumId w:val="15"/>
  </w:num>
  <w:num w:numId="14" w16cid:durableId="1857882252">
    <w:abstractNumId w:val="17"/>
  </w:num>
  <w:num w:numId="15" w16cid:durableId="1750078854">
    <w:abstractNumId w:val="13"/>
  </w:num>
  <w:num w:numId="16" w16cid:durableId="1005664881">
    <w:abstractNumId w:val="18"/>
  </w:num>
  <w:num w:numId="17" w16cid:durableId="602345466">
    <w:abstractNumId w:val="21"/>
  </w:num>
  <w:num w:numId="18" w16cid:durableId="1072199645">
    <w:abstractNumId w:val="8"/>
  </w:num>
  <w:num w:numId="19" w16cid:durableId="1285231495">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4235"/>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992"/>
    <w:rsid w:val="00033E7F"/>
    <w:rsid w:val="0003501A"/>
    <w:rsid w:val="00035C02"/>
    <w:rsid w:val="00040068"/>
    <w:rsid w:val="0004114F"/>
    <w:rsid w:val="0004168A"/>
    <w:rsid w:val="00041B9F"/>
    <w:rsid w:val="000425A0"/>
    <w:rsid w:val="00045BD2"/>
    <w:rsid w:val="00046164"/>
    <w:rsid w:val="0004741A"/>
    <w:rsid w:val="00051A6A"/>
    <w:rsid w:val="00052736"/>
    <w:rsid w:val="00054718"/>
    <w:rsid w:val="00056329"/>
    <w:rsid w:val="000568BF"/>
    <w:rsid w:val="00056982"/>
    <w:rsid w:val="00057144"/>
    <w:rsid w:val="0005734E"/>
    <w:rsid w:val="00057DE5"/>
    <w:rsid w:val="00063339"/>
    <w:rsid w:val="000642AC"/>
    <w:rsid w:val="00064514"/>
    <w:rsid w:val="00070432"/>
    <w:rsid w:val="0007055D"/>
    <w:rsid w:val="000713B8"/>
    <w:rsid w:val="00072942"/>
    <w:rsid w:val="00072DEE"/>
    <w:rsid w:val="00073C7B"/>
    <w:rsid w:val="0007519A"/>
    <w:rsid w:val="00076A13"/>
    <w:rsid w:val="000774B6"/>
    <w:rsid w:val="000802F2"/>
    <w:rsid w:val="000829FB"/>
    <w:rsid w:val="000834D6"/>
    <w:rsid w:val="00085B65"/>
    <w:rsid w:val="00086F55"/>
    <w:rsid w:val="00087044"/>
    <w:rsid w:val="00087069"/>
    <w:rsid w:val="00090550"/>
    <w:rsid w:val="00091583"/>
    <w:rsid w:val="00091FCF"/>
    <w:rsid w:val="000923AD"/>
    <w:rsid w:val="00092C80"/>
    <w:rsid w:val="0009357B"/>
    <w:rsid w:val="00093AEC"/>
    <w:rsid w:val="000944CA"/>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BBB"/>
    <w:rsid w:val="000C4A9A"/>
    <w:rsid w:val="000C563F"/>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2A6D"/>
    <w:rsid w:val="000E3D55"/>
    <w:rsid w:val="000E3FC5"/>
    <w:rsid w:val="000E5779"/>
    <w:rsid w:val="000E6917"/>
    <w:rsid w:val="000E6CCD"/>
    <w:rsid w:val="000E6FFC"/>
    <w:rsid w:val="000E709C"/>
    <w:rsid w:val="000E7170"/>
    <w:rsid w:val="000F143B"/>
    <w:rsid w:val="000F1E49"/>
    <w:rsid w:val="0010471A"/>
    <w:rsid w:val="00106335"/>
    <w:rsid w:val="00107FE0"/>
    <w:rsid w:val="00112403"/>
    <w:rsid w:val="00112659"/>
    <w:rsid w:val="0011591A"/>
    <w:rsid w:val="00115D89"/>
    <w:rsid w:val="001176A6"/>
    <w:rsid w:val="00117F9F"/>
    <w:rsid w:val="0012223F"/>
    <w:rsid w:val="00122885"/>
    <w:rsid w:val="00122F74"/>
    <w:rsid w:val="001247F5"/>
    <w:rsid w:val="0012568C"/>
    <w:rsid w:val="00125797"/>
    <w:rsid w:val="001257B2"/>
    <w:rsid w:val="00125EE3"/>
    <w:rsid w:val="001304D8"/>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1F42"/>
    <w:rsid w:val="00162FD9"/>
    <w:rsid w:val="00163717"/>
    <w:rsid w:val="00165736"/>
    <w:rsid w:val="00167192"/>
    <w:rsid w:val="001710B9"/>
    <w:rsid w:val="00172192"/>
    <w:rsid w:val="001745C1"/>
    <w:rsid w:val="0017533B"/>
    <w:rsid w:val="00175AFA"/>
    <w:rsid w:val="00175C66"/>
    <w:rsid w:val="001763A5"/>
    <w:rsid w:val="00176941"/>
    <w:rsid w:val="00177268"/>
    <w:rsid w:val="001832A7"/>
    <w:rsid w:val="0018494E"/>
    <w:rsid w:val="00184F96"/>
    <w:rsid w:val="00185879"/>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1C3A"/>
    <w:rsid w:val="001D31F2"/>
    <w:rsid w:val="001D3DB4"/>
    <w:rsid w:val="001D4B55"/>
    <w:rsid w:val="001D6390"/>
    <w:rsid w:val="001D6A83"/>
    <w:rsid w:val="001D6EC5"/>
    <w:rsid w:val="001D7BC0"/>
    <w:rsid w:val="001E0009"/>
    <w:rsid w:val="001E02B2"/>
    <w:rsid w:val="001E111C"/>
    <w:rsid w:val="001E1799"/>
    <w:rsid w:val="001E3BAB"/>
    <w:rsid w:val="001E4A0B"/>
    <w:rsid w:val="001E4B83"/>
    <w:rsid w:val="001E5B54"/>
    <w:rsid w:val="001F0978"/>
    <w:rsid w:val="001F1D3B"/>
    <w:rsid w:val="001F2C61"/>
    <w:rsid w:val="001F4125"/>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3240D"/>
    <w:rsid w:val="002401B3"/>
    <w:rsid w:val="0024023F"/>
    <w:rsid w:val="002408CB"/>
    <w:rsid w:val="00240D29"/>
    <w:rsid w:val="00240E25"/>
    <w:rsid w:val="00244176"/>
    <w:rsid w:val="002465F7"/>
    <w:rsid w:val="002475B4"/>
    <w:rsid w:val="00253343"/>
    <w:rsid w:val="00253F01"/>
    <w:rsid w:val="00254F91"/>
    <w:rsid w:val="0025588D"/>
    <w:rsid w:val="00256A68"/>
    <w:rsid w:val="00260EC8"/>
    <w:rsid w:val="0026498A"/>
    <w:rsid w:val="00266BCB"/>
    <w:rsid w:val="00267F3A"/>
    <w:rsid w:val="00270721"/>
    <w:rsid w:val="00270E33"/>
    <w:rsid w:val="00271079"/>
    <w:rsid w:val="00271E81"/>
    <w:rsid w:val="002721F4"/>
    <w:rsid w:val="002752D9"/>
    <w:rsid w:val="0027734A"/>
    <w:rsid w:val="00277D48"/>
    <w:rsid w:val="0028048A"/>
    <w:rsid w:val="002806D5"/>
    <w:rsid w:val="00281B47"/>
    <w:rsid w:val="0028356E"/>
    <w:rsid w:val="00284A1E"/>
    <w:rsid w:val="00286C34"/>
    <w:rsid w:val="00287271"/>
    <w:rsid w:val="00287441"/>
    <w:rsid w:val="002876CE"/>
    <w:rsid w:val="0028791F"/>
    <w:rsid w:val="00287B34"/>
    <w:rsid w:val="002918CD"/>
    <w:rsid w:val="0029200A"/>
    <w:rsid w:val="00292332"/>
    <w:rsid w:val="002926C6"/>
    <w:rsid w:val="00293B22"/>
    <w:rsid w:val="002955A9"/>
    <w:rsid w:val="00295AC6"/>
    <w:rsid w:val="00296C7F"/>
    <w:rsid w:val="00297A09"/>
    <w:rsid w:val="002A024B"/>
    <w:rsid w:val="002A0775"/>
    <w:rsid w:val="002A21B3"/>
    <w:rsid w:val="002A31CD"/>
    <w:rsid w:val="002A4197"/>
    <w:rsid w:val="002A525F"/>
    <w:rsid w:val="002B0341"/>
    <w:rsid w:val="002B1925"/>
    <w:rsid w:val="002B1CCE"/>
    <w:rsid w:val="002B1DCA"/>
    <w:rsid w:val="002B244E"/>
    <w:rsid w:val="002B5AAD"/>
    <w:rsid w:val="002B5B02"/>
    <w:rsid w:val="002B63E4"/>
    <w:rsid w:val="002C3B67"/>
    <w:rsid w:val="002C7006"/>
    <w:rsid w:val="002C79C5"/>
    <w:rsid w:val="002C7F5F"/>
    <w:rsid w:val="002D0765"/>
    <w:rsid w:val="002D18D2"/>
    <w:rsid w:val="002D3494"/>
    <w:rsid w:val="002D3923"/>
    <w:rsid w:val="002D3F74"/>
    <w:rsid w:val="002D46F9"/>
    <w:rsid w:val="002D54F8"/>
    <w:rsid w:val="002D61BD"/>
    <w:rsid w:val="002E0DE8"/>
    <w:rsid w:val="002E1493"/>
    <w:rsid w:val="002E16E3"/>
    <w:rsid w:val="002E1761"/>
    <w:rsid w:val="002E3B1E"/>
    <w:rsid w:val="002E4354"/>
    <w:rsid w:val="002E5454"/>
    <w:rsid w:val="002E574C"/>
    <w:rsid w:val="002E5AB5"/>
    <w:rsid w:val="002E5DA9"/>
    <w:rsid w:val="002E617C"/>
    <w:rsid w:val="002E63AD"/>
    <w:rsid w:val="002E6FDA"/>
    <w:rsid w:val="002E751F"/>
    <w:rsid w:val="002F0FD8"/>
    <w:rsid w:val="002F286D"/>
    <w:rsid w:val="002F6588"/>
    <w:rsid w:val="002F6EA7"/>
    <w:rsid w:val="00301108"/>
    <w:rsid w:val="0030159A"/>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26A7F"/>
    <w:rsid w:val="00332997"/>
    <w:rsid w:val="00333598"/>
    <w:rsid w:val="00333CBB"/>
    <w:rsid w:val="0033474D"/>
    <w:rsid w:val="00337B9D"/>
    <w:rsid w:val="00340430"/>
    <w:rsid w:val="00340A7F"/>
    <w:rsid w:val="00343AB5"/>
    <w:rsid w:val="003442AD"/>
    <w:rsid w:val="0034579C"/>
    <w:rsid w:val="00346841"/>
    <w:rsid w:val="00346D1A"/>
    <w:rsid w:val="00350ED5"/>
    <w:rsid w:val="00351202"/>
    <w:rsid w:val="003551E6"/>
    <w:rsid w:val="00355783"/>
    <w:rsid w:val="00357D2D"/>
    <w:rsid w:val="003611A5"/>
    <w:rsid w:val="00367B57"/>
    <w:rsid w:val="003700E4"/>
    <w:rsid w:val="00370F6F"/>
    <w:rsid w:val="0037129D"/>
    <w:rsid w:val="00383AA6"/>
    <w:rsid w:val="0038421E"/>
    <w:rsid w:val="00387B93"/>
    <w:rsid w:val="003936BA"/>
    <w:rsid w:val="0039570D"/>
    <w:rsid w:val="00396468"/>
    <w:rsid w:val="00397C53"/>
    <w:rsid w:val="003A0693"/>
    <w:rsid w:val="003A1456"/>
    <w:rsid w:val="003A1640"/>
    <w:rsid w:val="003A18D2"/>
    <w:rsid w:val="003A1D6C"/>
    <w:rsid w:val="003A2447"/>
    <w:rsid w:val="003A3A55"/>
    <w:rsid w:val="003A6B44"/>
    <w:rsid w:val="003A70B1"/>
    <w:rsid w:val="003B17C6"/>
    <w:rsid w:val="003B1BE5"/>
    <w:rsid w:val="003B1F0C"/>
    <w:rsid w:val="003B2148"/>
    <w:rsid w:val="003B26ED"/>
    <w:rsid w:val="003B2709"/>
    <w:rsid w:val="003B5BD5"/>
    <w:rsid w:val="003B5F0A"/>
    <w:rsid w:val="003B75B2"/>
    <w:rsid w:val="003B79B5"/>
    <w:rsid w:val="003C753E"/>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1E68"/>
    <w:rsid w:val="003F46C0"/>
    <w:rsid w:val="003F492F"/>
    <w:rsid w:val="0040068C"/>
    <w:rsid w:val="00401936"/>
    <w:rsid w:val="00401E69"/>
    <w:rsid w:val="004026EC"/>
    <w:rsid w:val="0040514F"/>
    <w:rsid w:val="0040784D"/>
    <w:rsid w:val="00407C8E"/>
    <w:rsid w:val="00410320"/>
    <w:rsid w:val="004116A2"/>
    <w:rsid w:val="00411DB8"/>
    <w:rsid w:val="00412D02"/>
    <w:rsid w:val="00413374"/>
    <w:rsid w:val="0041524B"/>
    <w:rsid w:val="0041538E"/>
    <w:rsid w:val="00417987"/>
    <w:rsid w:val="00420589"/>
    <w:rsid w:val="0042387A"/>
    <w:rsid w:val="00424869"/>
    <w:rsid w:val="00427CC9"/>
    <w:rsid w:val="0043486F"/>
    <w:rsid w:val="00437F14"/>
    <w:rsid w:val="00443306"/>
    <w:rsid w:val="0044479F"/>
    <w:rsid w:val="004449F0"/>
    <w:rsid w:val="00444EAE"/>
    <w:rsid w:val="0044510C"/>
    <w:rsid w:val="004460DB"/>
    <w:rsid w:val="004508CF"/>
    <w:rsid w:val="00451228"/>
    <w:rsid w:val="004516AD"/>
    <w:rsid w:val="00451D9B"/>
    <w:rsid w:val="0045234B"/>
    <w:rsid w:val="004535B4"/>
    <w:rsid w:val="00453F16"/>
    <w:rsid w:val="00453F81"/>
    <w:rsid w:val="00455142"/>
    <w:rsid w:val="00455FD0"/>
    <w:rsid w:val="004564C3"/>
    <w:rsid w:val="00457D69"/>
    <w:rsid w:val="004607DD"/>
    <w:rsid w:val="0046179C"/>
    <w:rsid w:val="00462A14"/>
    <w:rsid w:val="004635A0"/>
    <w:rsid w:val="00463C35"/>
    <w:rsid w:val="00465210"/>
    <w:rsid w:val="00465AAD"/>
    <w:rsid w:val="00471A46"/>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0871"/>
    <w:rsid w:val="00491F6A"/>
    <w:rsid w:val="004946CC"/>
    <w:rsid w:val="004A42E2"/>
    <w:rsid w:val="004A4840"/>
    <w:rsid w:val="004A589E"/>
    <w:rsid w:val="004A5B58"/>
    <w:rsid w:val="004A7660"/>
    <w:rsid w:val="004B1556"/>
    <w:rsid w:val="004B17E0"/>
    <w:rsid w:val="004B3ABF"/>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45E0"/>
    <w:rsid w:val="004E4D49"/>
    <w:rsid w:val="004E4DED"/>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16957"/>
    <w:rsid w:val="0052143A"/>
    <w:rsid w:val="005222D0"/>
    <w:rsid w:val="00522B2D"/>
    <w:rsid w:val="005251D6"/>
    <w:rsid w:val="005252C2"/>
    <w:rsid w:val="00526CD5"/>
    <w:rsid w:val="00532CE0"/>
    <w:rsid w:val="005350E8"/>
    <w:rsid w:val="0053576D"/>
    <w:rsid w:val="00535DA9"/>
    <w:rsid w:val="005365E2"/>
    <w:rsid w:val="00540826"/>
    <w:rsid w:val="00542048"/>
    <w:rsid w:val="00543579"/>
    <w:rsid w:val="00544B75"/>
    <w:rsid w:val="0054568E"/>
    <w:rsid w:val="005457D3"/>
    <w:rsid w:val="00546DB1"/>
    <w:rsid w:val="00547B4E"/>
    <w:rsid w:val="005513A5"/>
    <w:rsid w:val="005521AE"/>
    <w:rsid w:val="00554F31"/>
    <w:rsid w:val="00556E28"/>
    <w:rsid w:val="00556FC5"/>
    <w:rsid w:val="00563521"/>
    <w:rsid w:val="0056493F"/>
    <w:rsid w:val="00564EB4"/>
    <w:rsid w:val="0057100F"/>
    <w:rsid w:val="00571841"/>
    <w:rsid w:val="005718EB"/>
    <w:rsid w:val="00572E15"/>
    <w:rsid w:val="00574575"/>
    <w:rsid w:val="00576435"/>
    <w:rsid w:val="00576732"/>
    <w:rsid w:val="00581F41"/>
    <w:rsid w:val="00582025"/>
    <w:rsid w:val="00586818"/>
    <w:rsid w:val="00587503"/>
    <w:rsid w:val="0058796D"/>
    <w:rsid w:val="0059098E"/>
    <w:rsid w:val="00593610"/>
    <w:rsid w:val="00594BEA"/>
    <w:rsid w:val="005950CD"/>
    <w:rsid w:val="005958C1"/>
    <w:rsid w:val="005961A5"/>
    <w:rsid w:val="0059715D"/>
    <w:rsid w:val="005A057C"/>
    <w:rsid w:val="005A11C2"/>
    <w:rsid w:val="005A1AAF"/>
    <w:rsid w:val="005A21E0"/>
    <w:rsid w:val="005A6B8B"/>
    <w:rsid w:val="005A73BC"/>
    <w:rsid w:val="005A77D3"/>
    <w:rsid w:val="005B16FE"/>
    <w:rsid w:val="005B1C01"/>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D2F"/>
    <w:rsid w:val="005D443A"/>
    <w:rsid w:val="005D4E0B"/>
    <w:rsid w:val="005D6BF9"/>
    <w:rsid w:val="005E1609"/>
    <w:rsid w:val="005E6748"/>
    <w:rsid w:val="005E7644"/>
    <w:rsid w:val="005F0CEE"/>
    <w:rsid w:val="005F1288"/>
    <w:rsid w:val="005F1D1A"/>
    <w:rsid w:val="005F4F4E"/>
    <w:rsid w:val="0060072B"/>
    <w:rsid w:val="00600C45"/>
    <w:rsid w:val="00600EBD"/>
    <w:rsid w:val="00602961"/>
    <w:rsid w:val="0060452E"/>
    <w:rsid w:val="00604EA4"/>
    <w:rsid w:val="00606F49"/>
    <w:rsid w:val="00607664"/>
    <w:rsid w:val="00607C98"/>
    <w:rsid w:val="00610830"/>
    <w:rsid w:val="00610F85"/>
    <w:rsid w:val="00612BE8"/>
    <w:rsid w:val="00613B5E"/>
    <w:rsid w:val="00615C15"/>
    <w:rsid w:val="00616E3B"/>
    <w:rsid w:val="00617467"/>
    <w:rsid w:val="00620324"/>
    <w:rsid w:val="00621543"/>
    <w:rsid w:val="00621C7C"/>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1639"/>
    <w:rsid w:val="00663BFD"/>
    <w:rsid w:val="0066479B"/>
    <w:rsid w:val="00664B35"/>
    <w:rsid w:val="00664C6B"/>
    <w:rsid w:val="00665FEE"/>
    <w:rsid w:val="0067057D"/>
    <w:rsid w:val="00672036"/>
    <w:rsid w:val="00673A81"/>
    <w:rsid w:val="00673B60"/>
    <w:rsid w:val="00673EFC"/>
    <w:rsid w:val="00673FF7"/>
    <w:rsid w:val="00675A1A"/>
    <w:rsid w:val="0067777D"/>
    <w:rsid w:val="00681EF5"/>
    <w:rsid w:val="00683B55"/>
    <w:rsid w:val="0068435E"/>
    <w:rsid w:val="00684A51"/>
    <w:rsid w:val="00685B05"/>
    <w:rsid w:val="006907A5"/>
    <w:rsid w:val="006912A9"/>
    <w:rsid w:val="006925FB"/>
    <w:rsid w:val="00696702"/>
    <w:rsid w:val="00697ABE"/>
    <w:rsid w:val="00697BB4"/>
    <w:rsid w:val="006A2075"/>
    <w:rsid w:val="006A331D"/>
    <w:rsid w:val="006A6853"/>
    <w:rsid w:val="006A6EBF"/>
    <w:rsid w:val="006A7E23"/>
    <w:rsid w:val="006B0B14"/>
    <w:rsid w:val="006B172D"/>
    <w:rsid w:val="006B2037"/>
    <w:rsid w:val="006B639C"/>
    <w:rsid w:val="006B6846"/>
    <w:rsid w:val="006B71C9"/>
    <w:rsid w:val="006C2084"/>
    <w:rsid w:val="006C23A0"/>
    <w:rsid w:val="006C4CFA"/>
    <w:rsid w:val="006C4D71"/>
    <w:rsid w:val="006D0A4A"/>
    <w:rsid w:val="006D0F5E"/>
    <w:rsid w:val="006D1F37"/>
    <w:rsid w:val="006D343D"/>
    <w:rsid w:val="006D3A86"/>
    <w:rsid w:val="006D3B06"/>
    <w:rsid w:val="006D59C9"/>
    <w:rsid w:val="006D6A03"/>
    <w:rsid w:val="006D6BAA"/>
    <w:rsid w:val="006E16F5"/>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20BC"/>
    <w:rsid w:val="007143C0"/>
    <w:rsid w:val="00717689"/>
    <w:rsid w:val="007211AF"/>
    <w:rsid w:val="007214D2"/>
    <w:rsid w:val="007228CD"/>
    <w:rsid w:val="007245E0"/>
    <w:rsid w:val="00726261"/>
    <w:rsid w:val="00727DAD"/>
    <w:rsid w:val="00730B21"/>
    <w:rsid w:val="0073432C"/>
    <w:rsid w:val="00736111"/>
    <w:rsid w:val="0073624E"/>
    <w:rsid w:val="007413DE"/>
    <w:rsid w:val="00742CFB"/>
    <w:rsid w:val="00742F9E"/>
    <w:rsid w:val="00743DBE"/>
    <w:rsid w:val="00744D16"/>
    <w:rsid w:val="007451B9"/>
    <w:rsid w:val="007458EF"/>
    <w:rsid w:val="00746182"/>
    <w:rsid w:val="007467DB"/>
    <w:rsid w:val="00746B4E"/>
    <w:rsid w:val="00747109"/>
    <w:rsid w:val="00747F7D"/>
    <w:rsid w:val="00752CF0"/>
    <w:rsid w:val="0075623A"/>
    <w:rsid w:val="00757CDC"/>
    <w:rsid w:val="00760AE3"/>
    <w:rsid w:val="00760C1C"/>
    <w:rsid w:val="007611C3"/>
    <w:rsid w:val="007616A3"/>
    <w:rsid w:val="00764672"/>
    <w:rsid w:val="00766187"/>
    <w:rsid w:val="00767C40"/>
    <w:rsid w:val="007716CF"/>
    <w:rsid w:val="00771AE3"/>
    <w:rsid w:val="00771F98"/>
    <w:rsid w:val="007725F8"/>
    <w:rsid w:val="0077329F"/>
    <w:rsid w:val="0077336F"/>
    <w:rsid w:val="0077588F"/>
    <w:rsid w:val="00781FD2"/>
    <w:rsid w:val="00782B1D"/>
    <w:rsid w:val="0078325C"/>
    <w:rsid w:val="00784C5A"/>
    <w:rsid w:val="007851A5"/>
    <w:rsid w:val="00787FBB"/>
    <w:rsid w:val="0079062F"/>
    <w:rsid w:val="007911C6"/>
    <w:rsid w:val="00791E42"/>
    <w:rsid w:val="007A3D37"/>
    <w:rsid w:val="007A458D"/>
    <w:rsid w:val="007A61D2"/>
    <w:rsid w:val="007A6841"/>
    <w:rsid w:val="007A79E7"/>
    <w:rsid w:val="007B257D"/>
    <w:rsid w:val="007B2A46"/>
    <w:rsid w:val="007B5A66"/>
    <w:rsid w:val="007B5BAC"/>
    <w:rsid w:val="007B64F2"/>
    <w:rsid w:val="007B688F"/>
    <w:rsid w:val="007B6933"/>
    <w:rsid w:val="007B6A4D"/>
    <w:rsid w:val="007C0409"/>
    <w:rsid w:val="007C1F59"/>
    <w:rsid w:val="007C2127"/>
    <w:rsid w:val="007C40A0"/>
    <w:rsid w:val="007C4637"/>
    <w:rsid w:val="007C6AE4"/>
    <w:rsid w:val="007D2553"/>
    <w:rsid w:val="007D2686"/>
    <w:rsid w:val="007D2730"/>
    <w:rsid w:val="007D2742"/>
    <w:rsid w:val="007D34AF"/>
    <w:rsid w:val="007D75EF"/>
    <w:rsid w:val="007D7FAB"/>
    <w:rsid w:val="007E0A76"/>
    <w:rsid w:val="007E249A"/>
    <w:rsid w:val="007E4E95"/>
    <w:rsid w:val="007E5595"/>
    <w:rsid w:val="007E58ED"/>
    <w:rsid w:val="007E7FD3"/>
    <w:rsid w:val="007F0D75"/>
    <w:rsid w:val="007F0F4C"/>
    <w:rsid w:val="007F1064"/>
    <w:rsid w:val="007F12B9"/>
    <w:rsid w:val="007F2541"/>
    <w:rsid w:val="007F258A"/>
    <w:rsid w:val="007F2C5A"/>
    <w:rsid w:val="007F3A43"/>
    <w:rsid w:val="007F5A82"/>
    <w:rsid w:val="007F6B4E"/>
    <w:rsid w:val="007F75C0"/>
    <w:rsid w:val="008001DB"/>
    <w:rsid w:val="00800FD3"/>
    <w:rsid w:val="008010EE"/>
    <w:rsid w:val="00806DC3"/>
    <w:rsid w:val="008072DA"/>
    <w:rsid w:val="00807C56"/>
    <w:rsid w:val="00810949"/>
    <w:rsid w:val="0081215A"/>
    <w:rsid w:val="00816448"/>
    <w:rsid w:val="008230EF"/>
    <w:rsid w:val="00823D4A"/>
    <w:rsid w:val="00824686"/>
    <w:rsid w:val="00824BE8"/>
    <w:rsid w:val="00824C81"/>
    <w:rsid w:val="008250D2"/>
    <w:rsid w:val="008261D9"/>
    <w:rsid w:val="00827EE5"/>
    <w:rsid w:val="008304FC"/>
    <w:rsid w:val="00830D18"/>
    <w:rsid w:val="008310C9"/>
    <w:rsid w:val="00831E02"/>
    <w:rsid w:val="00832237"/>
    <w:rsid w:val="00833979"/>
    <w:rsid w:val="008346B2"/>
    <w:rsid w:val="0083474C"/>
    <w:rsid w:val="00834EFD"/>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66C7"/>
    <w:rsid w:val="00857753"/>
    <w:rsid w:val="00857A9A"/>
    <w:rsid w:val="00857EDA"/>
    <w:rsid w:val="008603C1"/>
    <w:rsid w:val="00860F62"/>
    <w:rsid w:val="00865398"/>
    <w:rsid w:val="00865611"/>
    <w:rsid w:val="00867051"/>
    <w:rsid w:val="00870A5C"/>
    <w:rsid w:val="00871E05"/>
    <w:rsid w:val="008722C2"/>
    <w:rsid w:val="00872E55"/>
    <w:rsid w:val="00873072"/>
    <w:rsid w:val="00875F10"/>
    <w:rsid w:val="008764FD"/>
    <w:rsid w:val="00882E8A"/>
    <w:rsid w:val="00886787"/>
    <w:rsid w:val="00886CF1"/>
    <w:rsid w:val="00894529"/>
    <w:rsid w:val="008967C2"/>
    <w:rsid w:val="0089746E"/>
    <w:rsid w:val="008A048C"/>
    <w:rsid w:val="008A292B"/>
    <w:rsid w:val="008A29B8"/>
    <w:rsid w:val="008A2CFA"/>
    <w:rsid w:val="008A4774"/>
    <w:rsid w:val="008A5E97"/>
    <w:rsid w:val="008A6862"/>
    <w:rsid w:val="008B0970"/>
    <w:rsid w:val="008B11E0"/>
    <w:rsid w:val="008B18E3"/>
    <w:rsid w:val="008B1A51"/>
    <w:rsid w:val="008B3906"/>
    <w:rsid w:val="008B3B49"/>
    <w:rsid w:val="008B4E8D"/>
    <w:rsid w:val="008B64D8"/>
    <w:rsid w:val="008B7BD1"/>
    <w:rsid w:val="008C1608"/>
    <w:rsid w:val="008C2CB1"/>
    <w:rsid w:val="008C3081"/>
    <w:rsid w:val="008C34C7"/>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2957"/>
    <w:rsid w:val="00924174"/>
    <w:rsid w:val="00925156"/>
    <w:rsid w:val="00926B2E"/>
    <w:rsid w:val="00930F17"/>
    <w:rsid w:val="009340D4"/>
    <w:rsid w:val="009343FB"/>
    <w:rsid w:val="00934B26"/>
    <w:rsid w:val="00934B5D"/>
    <w:rsid w:val="0094076B"/>
    <w:rsid w:val="0094137D"/>
    <w:rsid w:val="00941E8F"/>
    <w:rsid w:val="0094218D"/>
    <w:rsid w:val="009421BE"/>
    <w:rsid w:val="0094278E"/>
    <w:rsid w:val="009439CD"/>
    <w:rsid w:val="009469E2"/>
    <w:rsid w:val="00946FD3"/>
    <w:rsid w:val="00947D42"/>
    <w:rsid w:val="009528BE"/>
    <w:rsid w:val="009534C5"/>
    <w:rsid w:val="00953F09"/>
    <w:rsid w:val="00956138"/>
    <w:rsid w:val="00960F64"/>
    <w:rsid w:val="009642C6"/>
    <w:rsid w:val="0096529C"/>
    <w:rsid w:val="009658AA"/>
    <w:rsid w:val="009665BE"/>
    <w:rsid w:val="00967DAE"/>
    <w:rsid w:val="00970231"/>
    <w:rsid w:val="00970D65"/>
    <w:rsid w:val="00971CAB"/>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979F2"/>
    <w:rsid w:val="009A175B"/>
    <w:rsid w:val="009A22F6"/>
    <w:rsid w:val="009A343C"/>
    <w:rsid w:val="009A6B70"/>
    <w:rsid w:val="009A7E8C"/>
    <w:rsid w:val="009B04FB"/>
    <w:rsid w:val="009B154D"/>
    <w:rsid w:val="009B217B"/>
    <w:rsid w:val="009B3345"/>
    <w:rsid w:val="009B42A7"/>
    <w:rsid w:val="009B4F0D"/>
    <w:rsid w:val="009B528E"/>
    <w:rsid w:val="009B5E5E"/>
    <w:rsid w:val="009B601A"/>
    <w:rsid w:val="009C0093"/>
    <w:rsid w:val="009C033F"/>
    <w:rsid w:val="009C04EE"/>
    <w:rsid w:val="009C14D4"/>
    <w:rsid w:val="009C1878"/>
    <w:rsid w:val="009C38B9"/>
    <w:rsid w:val="009C3DF9"/>
    <w:rsid w:val="009C3FC8"/>
    <w:rsid w:val="009C5469"/>
    <w:rsid w:val="009C5C36"/>
    <w:rsid w:val="009C5D71"/>
    <w:rsid w:val="009C6138"/>
    <w:rsid w:val="009C6D28"/>
    <w:rsid w:val="009D1F9C"/>
    <w:rsid w:val="009D2713"/>
    <w:rsid w:val="009D5166"/>
    <w:rsid w:val="009D5236"/>
    <w:rsid w:val="009D526D"/>
    <w:rsid w:val="009D6822"/>
    <w:rsid w:val="009E0A60"/>
    <w:rsid w:val="009E2139"/>
    <w:rsid w:val="009E28D2"/>
    <w:rsid w:val="009E58E2"/>
    <w:rsid w:val="009E7236"/>
    <w:rsid w:val="009F3320"/>
    <w:rsid w:val="009F5C8A"/>
    <w:rsid w:val="009F6677"/>
    <w:rsid w:val="009F74C8"/>
    <w:rsid w:val="00A010E1"/>
    <w:rsid w:val="00A04BD4"/>
    <w:rsid w:val="00A04E25"/>
    <w:rsid w:val="00A06FF4"/>
    <w:rsid w:val="00A1108A"/>
    <w:rsid w:val="00A11652"/>
    <w:rsid w:val="00A134A4"/>
    <w:rsid w:val="00A14DF2"/>
    <w:rsid w:val="00A169A2"/>
    <w:rsid w:val="00A24BFD"/>
    <w:rsid w:val="00A2528F"/>
    <w:rsid w:val="00A30A5D"/>
    <w:rsid w:val="00A340E0"/>
    <w:rsid w:val="00A349B0"/>
    <w:rsid w:val="00A35E66"/>
    <w:rsid w:val="00A364D2"/>
    <w:rsid w:val="00A37C8A"/>
    <w:rsid w:val="00A37CD9"/>
    <w:rsid w:val="00A404A5"/>
    <w:rsid w:val="00A45657"/>
    <w:rsid w:val="00A458AB"/>
    <w:rsid w:val="00A51F3D"/>
    <w:rsid w:val="00A5269B"/>
    <w:rsid w:val="00A53E96"/>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06B9"/>
    <w:rsid w:val="00A93565"/>
    <w:rsid w:val="00A940A7"/>
    <w:rsid w:val="00A9424A"/>
    <w:rsid w:val="00A952BC"/>
    <w:rsid w:val="00A978A1"/>
    <w:rsid w:val="00AA05CF"/>
    <w:rsid w:val="00AA2BEE"/>
    <w:rsid w:val="00AA397F"/>
    <w:rsid w:val="00AB400E"/>
    <w:rsid w:val="00AB6626"/>
    <w:rsid w:val="00AB75E1"/>
    <w:rsid w:val="00AC0F4E"/>
    <w:rsid w:val="00AC2171"/>
    <w:rsid w:val="00AC2E1D"/>
    <w:rsid w:val="00AC413A"/>
    <w:rsid w:val="00AC5971"/>
    <w:rsid w:val="00AC62AD"/>
    <w:rsid w:val="00AC7013"/>
    <w:rsid w:val="00AD0234"/>
    <w:rsid w:val="00AD1C0F"/>
    <w:rsid w:val="00AD1C75"/>
    <w:rsid w:val="00AD1CB4"/>
    <w:rsid w:val="00AD3C05"/>
    <w:rsid w:val="00AD3CD0"/>
    <w:rsid w:val="00AD4A94"/>
    <w:rsid w:val="00AD4C6C"/>
    <w:rsid w:val="00AD5A77"/>
    <w:rsid w:val="00AD748B"/>
    <w:rsid w:val="00AE1257"/>
    <w:rsid w:val="00AE16F6"/>
    <w:rsid w:val="00AE1E54"/>
    <w:rsid w:val="00AE65D0"/>
    <w:rsid w:val="00AE6ABE"/>
    <w:rsid w:val="00AE7805"/>
    <w:rsid w:val="00AF0D19"/>
    <w:rsid w:val="00AF24AA"/>
    <w:rsid w:val="00AF351B"/>
    <w:rsid w:val="00AF3BCF"/>
    <w:rsid w:val="00AF5028"/>
    <w:rsid w:val="00AF6C10"/>
    <w:rsid w:val="00AF760E"/>
    <w:rsid w:val="00AF79CD"/>
    <w:rsid w:val="00B02A60"/>
    <w:rsid w:val="00B045F5"/>
    <w:rsid w:val="00B05ECB"/>
    <w:rsid w:val="00B06358"/>
    <w:rsid w:val="00B11776"/>
    <w:rsid w:val="00B1202B"/>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1A14"/>
    <w:rsid w:val="00B32C27"/>
    <w:rsid w:val="00B339EB"/>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5A66"/>
    <w:rsid w:val="00B5606E"/>
    <w:rsid w:val="00B56835"/>
    <w:rsid w:val="00B60873"/>
    <w:rsid w:val="00B62D00"/>
    <w:rsid w:val="00B631D6"/>
    <w:rsid w:val="00B63551"/>
    <w:rsid w:val="00B640FC"/>
    <w:rsid w:val="00B72482"/>
    <w:rsid w:val="00B74FF1"/>
    <w:rsid w:val="00B75CB9"/>
    <w:rsid w:val="00B81D46"/>
    <w:rsid w:val="00B82AA9"/>
    <w:rsid w:val="00B84637"/>
    <w:rsid w:val="00B8778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643"/>
    <w:rsid w:val="00BC388F"/>
    <w:rsid w:val="00BC3EB1"/>
    <w:rsid w:val="00BC4CAA"/>
    <w:rsid w:val="00BC5E3C"/>
    <w:rsid w:val="00BC72E5"/>
    <w:rsid w:val="00BD231C"/>
    <w:rsid w:val="00BD27B4"/>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78"/>
    <w:rsid w:val="00C02EE3"/>
    <w:rsid w:val="00C0333D"/>
    <w:rsid w:val="00C03C08"/>
    <w:rsid w:val="00C04166"/>
    <w:rsid w:val="00C04D2D"/>
    <w:rsid w:val="00C05140"/>
    <w:rsid w:val="00C07ED7"/>
    <w:rsid w:val="00C119D4"/>
    <w:rsid w:val="00C12E82"/>
    <w:rsid w:val="00C130E2"/>
    <w:rsid w:val="00C140EA"/>
    <w:rsid w:val="00C14178"/>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3CC2"/>
    <w:rsid w:val="00C75164"/>
    <w:rsid w:val="00C75C41"/>
    <w:rsid w:val="00C7646A"/>
    <w:rsid w:val="00C776DF"/>
    <w:rsid w:val="00C80D32"/>
    <w:rsid w:val="00C8233C"/>
    <w:rsid w:val="00C8298B"/>
    <w:rsid w:val="00C836E6"/>
    <w:rsid w:val="00C84F67"/>
    <w:rsid w:val="00C85F8C"/>
    <w:rsid w:val="00C86784"/>
    <w:rsid w:val="00C8765F"/>
    <w:rsid w:val="00C87805"/>
    <w:rsid w:val="00C8796A"/>
    <w:rsid w:val="00C9094A"/>
    <w:rsid w:val="00C91795"/>
    <w:rsid w:val="00C92514"/>
    <w:rsid w:val="00C92A5E"/>
    <w:rsid w:val="00C931C3"/>
    <w:rsid w:val="00C93410"/>
    <w:rsid w:val="00C9432B"/>
    <w:rsid w:val="00C94D48"/>
    <w:rsid w:val="00C950C6"/>
    <w:rsid w:val="00CA082F"/>
    <w:rsid w:val="00CA1645"/>
    <w:rsid w:val="00CA21FF"/>
    <w:rsid w:val="00CA23F4"/>
    <w:rsid w:val="00CA37F7"/>
    <w:rsid w:val="00CA472D"/>
    <w:rsid w:val="00CA5B15"/>
    <w:rsid w:val="00CA6EBA"/>
    <w:rsid w:val="00CB031F"/>
    <w:rsid w:val="00CB04BC"/>
    <w:rsid w:val="00CB1171"/>
    <w:rsid w:val="00CB11BA"/>
    <w:rsid w:val="00CB11BD"/>
    <w:rsid w:val="00CB1EE9"/>
    <w:rsid w:val="00CB24E4"/>
    <w:rsid w:val="00CB3B97"/>
    <w:rsid w:val="00CB5702"/>
    <w:rsid w:val="00CB5B1A"/>
    <w:rsid w:val="00CB697B"/>
    <w:rsid w:val="00CC2A8C"/>
    <w:rsid w:val="00CC2B92"/>
    <w:rsid w:val="00CC4B51"/>
    <w:rsid w:val="00CC55D4"/>
    <w:rsid w:val="00CC5957"/>
    <w:rsid w:val="00CD0AD9"/>
    <w:rsid w:val="00CD2588"/>
    <w:rsid w:val="00CD35F7"/>
    <w:rsid w:val="00CD3F5F"/>
    <w:rsid w:val="00CD5910"/>
    <w:rsid w:val="00CE2129"/>
    <w:rsid w:val="00CE33A9"/>
    <w:rsid w:val="00CE41AB"/>
    <w:rsid w:val="00CE4C3B"/>
    <w:rsid w:val="00CE754D"/>
    <w:rsid w:val="00CE770D"/>
    <w:rsid w:val="00CF3774"/>
    <w:rsid w:val="00CF4B85"/>
    <w:rsid w:val="00CF6325"/>
    <w:rsid w:val="00D02857"/>
    <w:rsid w:val="00D060C6"/>
    <w:rsid w:val="00D06C2F"/>
    <w:rsid w:val="00D107DB"/>
    <w:rsid w:val="00D11787"/>
    <w:rsid w:val="00D12DD5"/>
    <w:rsid w:val="00D13111"/>
    <w:rsid w:val="00D24E67"/>
    <w:rsid w:val="00D30F21"/>
    <w:rsid w:val="00D31DFC"/>
    <w:rsid w:val="00D32D30"/>
    <w:rsid w:val="00D34693"/>
    <w:rsid w:val="00D37B83"/>
    <w:rsid w:val="00D40EDD"/>
    <w:rsid w:val="00D429ED"/>
    <w:rsid w:val="00D42A4D"/>
    <w:rsid w:val="00D43A57"/>
    <w:rsid w:val="00D445A3"/>
    <w:rsid w:val="00D4594E"/>
    <w:rsid w:val="00D475B9"/>
    <w:rsid w:val="00D52A7E"/>
    <w:rsid w:val="00D53CDF"/>
    <w:rsid w:val="00D5528D"/>
    <w:rsid w:val="00D556D1"/>
    <w:rsid w:val="00D56DE3"/>
    <w:rsid w:val="00D57DBA"/>
    <w:rsid w:val="00D60BAC"/>
    <w:rsid w:val="00D60E3D"/>
    <w:rsid w:val="00D60F7A"/>
    <w:rsid w:val="00D625A1"/>
    <w:rsid w:val="00D62BE3"/>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239"/>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0018"/>
    <w:rsid w:val="00DC20FC"/>
    <w:rsid w:val="00DC3100"/>
    <w:rsid w:val="00DC40C6"/>
    <w:rsid w:val="00DD1634"/>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E000FB"/>
    <w:rsid w:val="00E0035E"/>
    <w:rsid w:val="00E01C74"/>
    <w:rsid w:val="00E0210A"/>
    <w:rsid w:val="00E023FA"/>
    <w:rsid w:val="00E02D65"/>
    <w:rsid w:val="00E0378F"/>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3013"/>
    <w:rsid w:val="00E93DB3"/>
    <w:rsid w:val="00E940EE"/>
    <w:rsid w:val="00E954C6"/>
    <w:rsid w:val="00E95813"/>
    <w:rsid w:val="00E96BBA"/>
    <w:rsid w:val="00EA175C"/>
    <w:rsid w:val="00EA2B07"/>
    <w:rsid w:val="00EA4EC5"/>
    <w:rsid w:val="00EB278B"/>
    <w:rsid w:val="00EB6416"/>
    <w:rsid w:val="00EB6A88"/>
    <w:rsid w:val="00EB6ED2"/>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A02"/>
    <w:rsid w:val="00EE2FD3"/>
    <w:rsid w:val="00EE3B9D"/>
    <w:rsid w:val="00EE3EFB"/>
    <w:rsid w:val="00EE4E4E"/>
    <w:rsid w:val="00EE60B1"/>
    <w:rsid w:val="00EE6E7E"/>
    <w:rsid w:val="00EF0961"/>
    <w:rsid w:val="00EF190A"/>
    <w:rsid w:val="00EF272D"/>
    <w:rsid w:val="00EF4E6A"/>
    <w:rsid w:val="00EF5751"/>
    <w:rsid w:val="00EF5DED"/>
    <w:rsid w:val="00EF72E2"/>
    <w:rsid w:val="00EF7A41"/>
    <w:rsid w:val="00F0044A"/>
    <w:rsid w:val="00F0056E"/>
    <w:rsid w:val="00F00DDB"/>
    <w:rsid w:val="00F00DEB"/>
    <w:rsid w:val="00F00EBE"/>
    <w:rsid w:val="00F01C3E"/>
    <w:rsid w:val="00F02732"/>
    <w:rsid w:val="00F02809"/>
    <w:rsid w:val="00F02A53"/>
    <w:rsid w:val="00F0348D"/>
    <w:rsid w:val="00F06892"/>
    <w:rsid w:val="00F06EDB"/>
    <w:rsid w:val="00F07C1D"/>
    <w:rsid w:val="00F07CA6"/>
    <w:rsid w:val="00F1060C"/>
    <w:rsid w:val="00F10FBC"/>
    <w:rsid w:val="00F120B0"/>
    <w:rsid w:val="00F14338"/>
    <w:rsid w:val="00F16C3F"/>
    <w:rsid w:val="00F203CA"/>
    <w:rsid w:val="00F23398"/>
    <w:rsid w:val="00F233E4"/>
    <w:rsid w:val="00F24B7D"/>
    <w:rsid w:val="00F257E1"/>
    <w:rsid w:val="00F25DD5"/>
    <w:rsid w:val="00F265F2"/>
    <w:rsid w:val="00F27733"/>
    <w:rsid w:val="00F322AB"/>
    <w:rsid w:val="00F3330D"/>
    <w:rsid w:val="00F35123"/>
    <w:rsid w:val="00F366A2"/>
    <w:rsid w:val="00F36E6C"/>
    <w:rsid w:val="00F37AFF"/>
    <w:rsid w:val="00F409A3"/>
    <w:rsid w:val="00F410E0"/>
    <w:rsid w:val="00F42F5D"/>
    <w:rsid w:val="00F465E5"/>
    <w:rsid w:val="00F47092"/>
    <w:rsid w:val="00F478FD"/>
    <w:rsid w:val="00F51067"/>
    <w:rsid w:val="00F51150"/>
    <w:rsid w:val="00F534E4"/>
    <w:rsid w:val="00F5496C"/>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87F84"/>
    <w:rsid w:val="00F90799"/>
    <w:rsid w:val="00F91027"/>
    <w:rsid w:val="00F93431"/>
    <w:rsid w:val="00F9382D"/>
    <w:rsid w:val="00F95015"/>
    <w:rsid w:val="00F97DF5"/>
    <w:rsid w:val="00FA140F"/>
    <w:rsid w:val="00FA1867"/>
    <w:rsid w:val="00FA31FB"/>
    <w:rsid w:val="00FA462A"/>
    <w:rsid w:val="00FA5023"/>
    <w:rsid w:val="00FA55F6"/>
    <w:rsid w:val="00FA5C8D"/>
    <w:rsid w:val="00FA762D"/>
    <w:rsid w:val="00FB1006"/>
    <w:rsid w:val="00FB1FC8"/>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CB1"/>
    <w:rsid w:val="00FD51A4"/>
    <w:rsid w:val="00FD5577"/>
    <w:rsid w:val="00FD7282"/>
    <w:rsid w:val="00FD72E4"/>
    <w:rsid w:val="00FE3B4D"/>
    <w:rsid w:val="00FE3BE3"/>
    <w:rsid w:val="00FE5F57"/>
    <w:rsid w:val="00FE6214"/>
    <w:rsid w:val="00FE6DB4"/>
    <w:rsid w:val="00FF26A3"/>
    <w:rsid w:val="00FF43F0"/>
    <w:rsid w:val="00FF4925"/>
    <w:rsid w:val="00FF5AC7"/>
    <w:rsid w:val="00FF6F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2B513D6"/>
  <w15:chartTrackingRefBased/>
  <w15:docId w15:val="{E85DF130-9D59-4B01-93D0-87D874BBB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uiPriority w:val="99"/>
    <w:rsid w:val="0040068C"/>
    <w:pPr>
      <w:tabs>
        <w:tab w:val="center" w:pos="4819"/>
        <w:tab w:val="right" w:pos="9638"/>
      </w:tabs>
    </w:pPr>
  </w:style>
  <w:style w:type="character" w:customStyle="1" w:styleId="PidipaginaCarattere">
    <w:name w:val="Piè di pagina Carattere"/>
    <w:link w:val="Pidipagina"/>
    <w:uiPriority w:val="99"/>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rsid w:val="00BE3DBC"/>
    <w:rPr>
      <w:color w:val="000000"/>
      <w:sz w:val="16"/>
    </w:rPr>
  </w:style>
  <w:style w:type="paragraph" w:styleId="Testonotaapidipagina">
    <w:name w:val="footnote text"/>
    <w:basedOn w:val="Normale"/>
    <w:link w:val="TestonotaapidipaginaCarattere"/>
    <w:semiHidden/>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semiHidden/>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character" w:customStyle="1" w:styleId="Caratterenotadichiusura">
    <w:name w:val="Carattere nota di chiusura"/>
    <w:rsid w:val="00DC0018"/>
    <w:rPr>
      <w:vertAlign w:val="superscript"/>
    </w:rPr>
  </w:style>
  <w:style w:type="paragraph" w:customStyle="1" w:styleId="regolamento">
    <w:name w:val="regolamento"/>
    <w:basedOn w:val="Normale"/>
    <w:rsid w:val="00DC0018"/>
    <w:pPr>
      <w:widowControl w:val="0"/>
      <w:tabs>
        <w:tab w:val="left" w:pos="-2127"/>
      </w:tabs>
      <w:suppressAutoHyphens/>
      <w:spacing w:before="0" w:after="0" w:line="240" w:lineRule="auto"/>
      <w:ind w:left="284" w:hanging="284"/>
    </w:pPr>
    <w:rPr>
      <w:rFonts w:ascii="Arial" w:hAnsi="Arial" w:cs="Arial"/>
      <w:sz w:val="20"/>
      <w:lang w:eastAsia="ar-SA"/>
    </w:rPr>
  </w:style>
  <w:style w:type="paragraph" w:styleId="Testonotadichiusura">
    <w:name w:val="endnote text"/>
    <w:basedOn w:val="Normale"/>
    <w:link w:val="TestonotadichiusuraCarattere"/>
    <w:rsid w:val="00DC0018"/>
    <w:pPr>
      <w:suppressAutoHyphens/>
      <w:spacing w:before="0" w:after="0" w:line="240" w:lineRule="auto"/>
      <w:jc w:val="left"/>
    </w:pPr>
    <w:rPr>
      <w:sz w:val="20"/>
      <w:szCs w:val="20"/>
      <w:lang w:eastAsia="ar-SA"/>
    </w:rPr>
  </w:style>
  <w:style w:type="character" w:customStyle="1" w:styleId="TestonotadichiusuraCarattere">
    <w:name w:val="Testo nota di chiusura Carattere"/>
    <w:link w:val="Testonotadichiusura"/>
    <w:rsid w:val="00DC0018"/>
    <w:rPr>
      <w:lang w:val="it-IT" w:eastAsia="ar-SA"/>
    </w:rPr>
  </w:style>
  <w:style w:type="paragraph" w:styleId="Revisione">
    <w:name w:val="Revision"/>
    <w:hidden/>
    <w:uiPriority w:val="71"/>
    <w:semiHidden/>
    <w:rsid w:val="005950C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44077243">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ite.gov.it/sites/default/files/archivio/allegati/GPP/allegato_tec_CAMedilizia.pdf"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mite.gov.it/sites/default/files/archivio/allegati/GPP/allegato_tec_CAMedilizia.pdf" TargetMode="External"/><Relationship Id="rId17" Type="http://schemas.openxmlformats.org/officeDocument/2006/relationships/hyperlink" Target="http://www.unina.it/ateneo/statuto-e-normativa/privacy" TargetMode="External"/><Relationship Id="rId2" Type="http://schemas.openxmlformats.org/officeDocument/2006/relationships/customXml" Target="../customXml/item2.xml"/><Relationship Id="rId16" Type="http://schemas.openxmlformats.org/officeDocument/2006/relationships/hyperlink" Target="mailto:rpd@pec.unina.i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te.gov.it/sites/default/files/archivio/allegati/GPP/allegato_tec_CAMedilizia.pdf" TargetMode="External"/><Relationship Id="rId5" Type="http://schemas.openxmlformats.org/officeDocument/2006/relationships/numbering" Target="numbering.xml"/><Relationship Id="rId15" Type="http://schemas.openxmlformats.org/officeDocument/2006/relationships/hyperlink" Target="mailto:rpd@unina.it"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teneo@pec.unin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38BE586470BD64A9BE9763B2653A00A" ma:contentTypeVersion="7" ma:contentTypeDescription="Create a new document." ma:contentTypeScope="" ma:versionID="9d77e9562caabf0091c42ea336a3f938">
  <xsd:schema xmlns:xsd="http://www.w3.org/2001/XMLSchema" xmlns:xs="http://www.w3.org/2001/XMLSchema" xmlns:p="http://schemas.microsoft.com/office/2006/metadata/properties" xmlns:ns3="22dbbab8-849a-4fc3-b047-8ada296ae3be" targetNamespace="http://schemas.microsoft.com/office/2006/metadata/properties" ma:root="true" ma:fieldsID="37b91765c35958304f7aaaf33bbda4cf" ns3:_="">
    <xsd:import namespace="22dbbab8-849a-4fc3-b047-8ada296ae3b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dbbab8-849a-4fc3-b047-8ada296ae3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BE42C-F9D1-4EE5-9606-4C4745F6B39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57926F3-9EAB-47AE-A654-5CB9713C91AC}">
  <ds:schemaRefs>
    <ds:schemaRef ds:uri="http://schemas.microsoft.com/sharepoint/v3/contenttype/forms"/>
  </ds:schemaRefs>
</ds:datastoreItem>
</file>

<file path=customXml/itemProps3.xml><?xml version="1.0" encoding="utf-8"?>
<ds:datastoreItem xmlns:ds="http://schemas.openxmlformats.org/officeDocument/2006/customXml" ds:itemID="{784FDCE4-FE64-46BF-8C6E-27FA6AA594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dbbab8-849a-4fc3-b047-8ada296ae3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620379-8A6F-42FA-8FFF-16A893FDF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27</Pages>
  <Words>10678</Words>
  <Characters>60869</Characters>
  <Application>Microsoft Office Word</Application>
  <DocSecurity>0</DocSecurity>
  <Lines>507</Lines>
  <Paragraphs>142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71405</CharactersWithSpaces>
  <SharedDoc>false</SharedDoc>
  <HLinks>
    <vt:vector size="18" baseType="variant">
      <vt:variant>
        <vt:i4>2228267</vt:i4>
      </vt:variant>
      <vt:variant>
        <vt:i4>6</vt:i4>
      </vt:variant>
      <vt:variant>
        <vt:i4>0</vt:i4>
      </vt:variant>
      <vt:variant>
        <vt:i4>5</vt:i4>
      </vt:variant>
      <vt:variant>
        <vt:lpwstr>https://www.mite.gov.it/sites/default/files/archivio/allegati/GPP/allegato_tec_CAMedilizia.pdf</vt:lpwstr>
      </vt:variant>
      <vt:variant>
        <vt:lpwstr/>
      </vt:variant>
      <vt:variant>
        <vt:i4>2228267</vt:i4>
      </vt:variant>
      <vt:variant>
        <vt:i4>3</vt:i4>
      </vt:variant>
      <vt:variant>
        <vt:i4>0</vt:i4>
      </vt:variant>
      <vt:variant>
        <vt:i4>5</vt:i4>
      </vt:variant>
      <vt:variant>
        <vt:lpwstr>https://www.mite.gov.it/sites/default/files/archivio/allegati/GPP/allegato_tec_CAMedilizia.pdf</vt:lpwstr>
      </vt:variant>
      <vt:variant>
        <vt:lpwstr/>
      </vt:variant>
      <vt:variant>
        <vt:i4>2228267</vt:i4>
      </vt:variant>
      <vt:variant>
        <vt:i4>0</vt:i4>
      </vt:variant>
      <vt:variant>
        <vt:i4>0</vt:i4>
      </vt:variant>
      <vt:variant>
        <vt:i4>5</vt:i4>
      </vt:variant>
      <vt:variant>
        <vt:lpwstr>https://www.mite.gov.it/sites/default/files/archivio/allegati/GPP/allegato_tec_CAMedilizia.pdf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DOMENICO DEL PRETE</cp:lastModifiedBy>
  <cp:revision>25</cp:revision>
  <cp:lastPrinted>2013-05-27T15:33:00Z</cp:lastPrinted>
  <dcterms:created xsi:type="dcterms:W3CDTF">2022-12-17T17:01:00Z</dcterms:created>
  <dcterms:modified xsi:type="dcterms:W3CDTF">2023-04-13T13:54:00Z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0x010100438BE586470BD64A9BE9763B2653A00A</vt:lpwstr>
  </property>
  <property fmtid="{D5CDD505-2E9C-101B-9397-08002B2CF9AE}" pid="10" name="MSIP_Label_2ad0b24d-6422-44b0-b3de-abb3a9e8c81a_Enabled">
    <vt:lpwstr>true</vt:lpwstr>
  </property>
  <property fmtid="{D5CDD505-2E9C-101B-9397-08002B2CF9AE}" pid="11" name="MSIP_Label_2ad0b24d-6422-44b0-b3de-abb3a9e8c81a_SetDate">
    <vt:lpwstr>2023-04-13T13:51:55Z</vt:lpwstr>
  </property>
  <property fmtid="{D5CDD505-2E9C-101B-9397-08002B2CF9AE}" pid="12" name="MSIP_Label_2ad0b24d-6422-44b0-b3de-abb3a9e8c81a_Method">
    <vt:lpwstr>Standard</vt:lpwstr>
  </property>
  <property fmtid="{D5CDD505-2E9C-101B-9397-08002B2CF9AE}" pid="13" name="MSIP_Label_2ad0b24d-6422-44b0-b3de-abb3a9e8c81a_Name">
    <vt:lpwstr>defa4170-0d19-0005-0004-bc88714345d2</vt:lpwstr>
  </property>
  <property fmtid="{D5CDD505-2E9C-101B-9397-08002B2CF9AE}" pid="14" name="MSIP_Label_2ad0b24d-6422-44b0-b3de-abb3a9e8c81a_SiteId">
    <vt:lpwstr>2fcfe26a-bb62-46b0-b1e3-28f9da0c45fd</vt:lpwstr>
  </property>
  <property fmtid="{D5CDD505-2E9C-101B-9397-08002B2CF9AE}" pid="15" name="MSIP_Label_2ad0b24d-6422-44b0-b3de-abb3a9e8c81a_ActionId">
    <vt:lpwstr>8e24cb4b-1a23-4661-abb4-82c646e2e076</vt:lpwstr>
  </property>
  <property fmtid="{D5CDD505-2E9C-101B-9397-08002B2CF9AE}" pid="16" name="MSIP_Label_2ad0b24d-6422-44b0-b3de-abb3a9e8c81a_ContentBits">
    <vt:lpwstr>0</vt:lpwstr>
  </property>
</Properties>
</file>