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72287" w14:textId="1738C642" w:rsidR="00E3303D" w:rsidRPr="00F82D21" w:rsidRDefault="00E3303D" w:rsidP="00E3303D">
      <w:pPr>
        <w:jc w:val="both"/>
        <w:rPr>
          <w:rFonts w:asciiTheme="minorHAnsi" w:hAnsiTheme="minorHAnsi" w:cstheme="minorHAnsi"/>
        </w:rPr>
      </w:pPr>
      <w:bookmarkStart w:id="0" w:name="_Hlk127978861"/>
      <w:r w:rsidRPr="00F82D21">
        <w:rPr>
          <w:rFonts w:asciiTheme="minorHAnsi" w:hAnsiTheme="minorHAnsi" w:cstheme="minorHAnsi"/>
          <w:b/>
          <w:noProof/>
          <w:sz w:val="40"/>
          <w:szCs w:val="40"/>
          <w:lang w:val="en-US" w:eastAsia="en-US"/>
        </w:rPr>
        <w:drawing>
          <wp:inline distT="0" distB="0" distL="0" distR="0" wp14:anchorId="747BBB8A" wp14:editId="49D6A355">
            <wp:extent cx="6115050" cy="533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533400"/>
                    </a:xfrm>
                    <a:prstGeom prst="rect">
                      <a:avLst/>
                    </a:prstGeom>
                    <a:noFill/>
                    <a:ln>
                      <a:noFill/>
                    </a:ln>
                  </pic:spPr>
                </pic:pic>
              </a:graphicData>
            </a:graphic>
          </wp:inline>
        </w:drawing>
      </w:r>
    </w:p>
    <w:p w14:paraId="781AA0CC" w14:textId="77777777" w:rsidR="00E3303D" w:rsidRPr="00F82D21" w:rsidRDefault="00E3303D" w:rsidP="00E3303D">
      <w:pPr>
        <w:jc w:val="both"/>
        <w:rPr>
          <w:rFonts w:asciiTheme="minorHAnsi" w:hAnsiTheme="minorHAnsi" w:cstheme="minorHAnsi"/>
        </w:rPr>
      </w:pPr>
    </w:p>
    <w:p w14:paraId="37246E82" w14:textId="77777777" w:rsidR="00E3303D" w:rsidRPr="008F5717" w:rsidRDefault="00E3303D" w:rsidP="00E3303D">
      <w:pPr>
        <w:jc w:val="center"/>
        <w:rPr>
          <w:rFonts w:ascii="Titillium Regular Upright" w:hAnsi="Titillium Regular Upright" w:cstheme="minorHAnsi"/>
          <w:b/>
          <w:sz w:val="40"/>
          <w:szCs w:val="40"/>
        </w:rPr>
      </w:pPr>
      <w:bookmarkStart w:id="1" w:name="_Hlk127881265"/>
      <w:r w:rsidRPr="008F5717">
        <w:rPr>
          <w:rFonts w:ascii="Titillium Regular Upright" w:hAnsi="Titillium Regular Upright" w:cstheme="minorHAnsi"/>
          <w:b/>
          <w:sz w:val="40"/>
          <w:szCs w:val="40"/>
        </w:rPr>
        <w:t>Centro Nazionale HPC, Big Data e Quantum Computing</w:t>
      </w:r>
    </w:p>
    <w:p w14:paraId="0BB0466C" w14:textId="77777777" w:rsidR="00E3303D" w:rsidRPr="008F5717" w:rsidRDefault="00E3303D" w:rsidP="00E3303D">
      <w:pPr>
        <w:pStyle w:val="Default"/>
        <w:jc w:val="center"/>
        <w:rPr>
          <w:rFonts w:ascii="Titillium Regular Upright" w:eastAsia="Times New Roman" w:hAnsi="Titillium Regular Upright" w:cstheme="minorHAnsi"/>
          <w:b/>
          <w:bCs/>
          <w:sz w:val="28"/>
          <w:szCs w:val="28"/>
          <w:lang w:val="it-IT" w:eastAsia="it-IT"/>
        </w:rPr>
      </w:pPr>
      <w:r w:rsidRPr="008F5717">
        <w:rPr>
          <w:rFonts w:ascii="Titillium Regular Upright" w:eastAsia="Times New Roman" w:hAnsi="Titillium Regular Upright" w:cstheme="minorHAnsi"/>
          <w:b/>
          <w:bCs/>
          <w:sz w:val="28"/>
          <w:szCs w:val="28"/>
          <w:lang w:val="it-IT" w:eastAsia="it-IT"/>
        </w:rPr>
        <w:t>Missione 4, Componente 2, Investimento 1.4</w:t>
      </w:r>
    </w:p>
    <w:p w14:paraId="048A64DF" w14:textId="45E864B7" w:rsidR="00E3303D" w:rsidRPr="008F5717" w:rsidRDefault="00E3303D" w:rsidP="00E3303D">
      <w:pPr>
        <w:jc w:val="center"/>
        <w:rPr>
          <w:rFonts w:ascii="Titillium Regular Upright" w:hAnsi="Titillium Regular Upright" w:cstheme="minorHAnsi"/>
          <w:b/>
          <w:bCs/>
          <w:color w:val="000000"/>
          <w:sz w:val="28"/>
          <w:szCs w:val="28"/>
        </w:rPr>
      </w:pPr>
      <w:r w:rsidRPr="008F5717">
        <w:rPr>
          <w:rFonts w:ascii="Titillium Regular Upright" w:hAnsi="Titillium Regular Upright" w:cstheme="minorHAnsi"/>
          <w:b/>
          <w:bCs/>
          <w:color w:val="000000"/>
          <w:sz w:val="28"/>
          <w:szCs w:val="28"/>
        </w:rPr>
        <w:t>Codice progetto MUR: CN_00000013 - CUP: E63C22000980007</w:t>
      </w:r>
      <w:r w:rsidR="007A07FD" w:rsidRPr="008F5717">
        <w:rPr>
          <w:rFonts w:ascii="Titillium Regular Upright" w:hAnsi="Titillium Regular Upright" w:cstheme="minorHAnsi"/>
          <w:b/>
          <w:bCs/>
          <w:color w:val="000000"/>
          <w:sz w:val="28"/>
          <w:szCs w:val="28"/>
        </w:rPr>
        <w:t xml:space="preserve"> – </w:t>
      </w:r>
      <w:proofErr w:type="spellStart"/>
      <w:r w:rsidR="007A07FD" w:rsidRPr="008F5717">
        <w:rPr>
          <w:rFonts w:ascii="Titillium Regular Upright" w:hAnsi="Titillium Regular Upright" w:cstheme="minorHAnsi"/>
          <w:b/>
          <w:bCs/>
          <w:color w:val="000000"/>
          <w:sz w:val="28"/>
          <w:szCs w:val="28"/>
        </w:rPr>
        <w:t>Spoke</w:t>
      </w:r>
      <w:proofErr w:type="spellEnd"/>
      <w:r w:rsidR="007A07FD" w:rsidRPr="008F5717">
        <w:rPr>
          <w:rFonts w:ascii="Titillium Regular Upright" w:hAnsi="Titillium Regular Upright" w:cstheme="minorHAnsi"/>
          <w:b/>
          <w:bCs/>
          <w:color w:val="000000"/>
          <w:sz w:val="28"/>
          <w:szCs w:val="28"/>
        </w:rPr>
        <w:t xml:space="preserve"> 10</w:t>
      </w:r>
    </w:p>
    <w:p w14:paraId="4C4C6500" w14:textId="77777777" w:rsidR="00E3303D" w:rsidRPr="008F5717" w:rsidRDefault="00E3303D" w:rsidP="00E3303D">
      <w:pPr>
        <w:jc w:val="center"/>
        <w:rPr>
          <w:rFonts w:ascii="Titillium Regular Upright" w:hAnsi="Titillium Regular Upright" w:cstheme="minorHAnsi"/>
          <w:color w:val="000000"/>
        </w:rPr>
      </w:pPr>
    </w:p>
    <w:bookmarkEnd w:id="1"/>
    <w:p w14:paraId="29CB8E5D" w14:textId="77777777" w:rsidR="00E3303D" w:rsidRPr="008F5717" w:rsidRDefault="00E3303D" w:rsidP="00E3303D">
      <w:pPr>
        <w:jc w:val="center"/>
        <w:rPr>
          <w:rFonts w:ascii="Titillium Regular Upright" w:hAnsi="Titillium Regular Upright" w:cstheme="minorHAnsi"/>
          <w:b/>
          <w:bCs/>
          <w:color w:val="000000"/>
          <w:sz w:val="28"/>
          <w:szCs w:val="28"/>
        </w:rPr>
      </w:pPr>
      <w:r w:rsidRPr="008F5717">
        <w:rPr>
          <w:rFonts w:ascii="Titillium Regular Upright" w:hAnsi="Titillium Regular Upright" w:cstheme="minorHAnsi"/>
          <w:noProof/>
          <w:color w:val="000000"/>
          <w:lang w:val="en-US" w:eastAsia="en-US"/>
        </w:rPr>
        <w:drawing>
          <wp:inline distT="0" distB="0" distL="0" distR="0" wp14:anchorId="4A44BF2E" wp14:editId="4A67369B">
            <wp:extent cx="4257675" cy="647700"/>
            <wp:effectExtent l="0" t="0" r="9525"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7675" cy="647700"/>
                    </a:xfrm>
                    <a:prstGeom prst="rect">
                      <a:avLst/>
                    </a:prstGeom>
                    <a:noFill/>
                    <a:ln>
                      <a:noFill/>
                    </a:ln>
                  </pic:spPr>
                </pic:pic>
              </a:graphicData>
            </a:graphic>
          </wp:inline>
        </w:drawing>
      </w:r>
    </w:p>
    <w:bookmarkEnd w:id="0"/>
    <w:p w14:paraId="012145B4" w14:textId="77777777" w:rsidR="00E3303D" w:rsidRPr="008F5717" w:rsidRDefault="00E3303D" w:rsidP="00E3303D">
      <w:pPr>
        <w:rPr>
          <w:rFonts w:ascii="Titillium Regular Upright" w:hAnsi="Titillium Regular Upright" w:cstheme="minorHAnsi"/>
          <w:sz w:val="30"/>
          <w:szCs w:val="30"/>
        </w:rPr>
      </w:pPr>
    </w:p>
    <w:p w14:paraId="6DA5930B" w14:textId="77777777" w:rsidR="009F5AF6" w:rsidRPr="008F5717" w:rsidRDefault="009F5AF6" w:rsidP="00E84F90">
      <w:pPr>
        <w:rPr>
          <w:rFonts w:ascii="Titillium Regular Upright" w:hAnsi="Titillium Regular Upright" w:cstheme="minorHAnsi"/>
          <w:b/>
          <w:bCs/>
          <w:color w:val="000000"/>
        </w:rPr>
      </w:pPr>
    </w:p>
    <w:p w14:paraId="0406F4ED" w14:textId="77777777" w:rsidR="009F5AF6" w:rsidRPr="008F5717" w:rsidRDefault="009F5AF6" w:rsidP="009F5AF6">
      <w:pPr>
        <w:jc w:val="center"/>
        <w:rPr>
          <w:rFonts w:ascii="Titillium Regular Upright" w:hAnsi="Titillium Regular Upright" w:cstheme="minorHAnsi"/>
          <w:b/>
          <w:bCs/>
          <w:color w:val="000000"/>
        </w:rPr>
      </w:pPr>
    </w:p>
    <w:p w14:paraId="19EED92E" w14:textId="5CCE1A7C" w:rsidR="00E6043B" w:rsidRPr="008F5717" w:rsidRDefault="00521AE4" w:rsidP="00E6043B">
      <w:pPr>
        <w:autoSpaceDE w:val="0"/>
        <w:autoSpaceDN w:val="0"/>
        <w:adjustRightInd w:val="0"/>
        <w:jc w:val="right"/>
        <w:rPr>
          <w:rFonts w:ascii="Titillium Regular Upright" w:hAnsi="Titillium Regular Upright" w:cstheme="minorHAnsi"/>
          <w:b/>
          <w:bCs/>
        </w:rPr>
      </w:pPr>
      <w:r w:rsidRPr="008F5717">
        <w:rPr>
          <w:rFonts w:ascii="Titillium Regular Upright" w:hAnsi="Titillium Regular Upright" w:cstheme="minorHAnsi"/>
          <w:b/>
          <w:bCs/>
          <w:color w:val="000000"/>
        </w:rPr>
        <w:tab/>
      </w:r>
      <w:r w:rsidRPr="008F5717">
        <w:rPr>
          <w:rFonts w:ascii="Titillium Regular Upright" w:hAnsi="Titillium Regular Upright" w:cstheme="minorHAnsi"/>
          <w:b/>
          <w:bCs/>
          <w:color w:val="000000"/>
        </w:rPr>
        <w:tab/>
      </w:r>
      <w:r w:rsidR="002264EE" w:rsidRPr="008F5717">
        <w:rPr>
          <w:rFonts w:ascii="Titillium Regular Upright" w:hAnsi="Titillium Regular Upright" w:cstheme="minorHAnsi"/>
          <w:b/>
          <w:bCs/>
          <w:color w:val="000000"/>
        </w:rPr>
        <w:tab/>
      </w:r>
      <w:r w:rsidR="002264EE" w:rsidRPr="008F5717">
        <w:rPr>
          <w:rFonts w:ascii="Titillium Regular Upright" w:hAnsi="Titillium Regular Upright" w:cstheme="minorHAnsi"/>
          <w:b/>
          <w:bCs/>
          <w:color w:val="000000"/>
        </w:rPr>
        <w:tab/>
      </w:r>
      <w:r w:rsidR="002264EE" w:rsidRPr="008F5717">
        <w:rPr>
          <w:rFonts w:ascii="Titillium Regular Upright" w:hAnsi="Titillium Regular Upright" w:cstheme="minorHAnsi"/>
          <w:b/>
          <w:bCs/>
          <w:color w:val="000000"/>
        </w:rPr>
        <w:tab/>
      </w:r>
      <w:r w:rsidR="002264EE" w:rsidRPr="008F5717">
        <w:rPr>
          <w:rFonts w:ascii="Titillium Regular Upright" w:hAnsi="Titillium Regular Upright" w:cstheme="minorHAnsi"/>
          <w:b/>
          <w:bCs/>
          <w:color w:val="000000"/>
        </w:rPr>
        <w:tab/>
      </w:r>
      <w:r w:rsidR="002264EE" w:rsidRPr="008F5717">
        <w:rPr>
          <w:rFonts w:ascii="Titillium Regular Upright" w:hAnsi="Titillium Regular Upright" w:cstheme="minorHAnsi"/>
          <w:b/>
          <w:bCs/>
          <w:color w:val="000000"/>
        </w:rPr>
        <w:tab/>
      </w:r>
      <w:r w:rsidR="002264EE" w:rsidRPr="008F5717">
        <w:rPr>
          <w:rFonts w:ascii="Titillium Regular Upright" w:hAnsi="Titillium Regular Upright" w:cstheme="minorHAnsi"/>
          <w:b/>
          <w:bCs/>
          <w:color w:val="000000"/>
        </w:rPr>
        <w:tab/>
      </w:r>
      <w:r w:rsidR="002264EE" w:rsidRPr="008F5717">
        <w:rPr>
          <w:rFonts w:ascii="Titillium Regular Upright" w:hAnsi="Titillium Regular Upright" w:cstheme="minorHAnsi"/>
          <w:b/>
          <w:bCs/>
          <w:color w:val="000000"/>
        </w:rPr>
        <w:tab/>
      </w:r>
      <w:r w:rsidR="002264EE" w:rsidRPr="008F5717">
        <w:rPr>
          <w:rFonts w:ascii="Titillium Regular Upright" w:hAnsi="Titillium Regular Upright" w:cstheme="minorHAnsi"/>
          <w:b/>
          <w:bCs/>
          <w:color w:val="000000"/>
        </w:rPr>
        <w:tab/>
        <w:t xml:space="preserve">   </w:t>
      </w:r>
      <w:r w:rsidR="00571AC2" w:rsidRPr="008F5717">
        <w:rPr>
          <w:rFonts w:ascii="Titillium Regular Upright" w:hAnsi="Titillium Regular Upright" w:cstheme="minorHAnsi"/>
          <w:b/>
          <w:bCs/>
        </w:rPr>
        <w:t xml:space="preserve">        </w:t>
      </w:r>
      <w:r w:rsidR="00FE36B1" w:rsidRPr="008F5717">
        <w:rPr>
          <w:rFonts w:ascii="Titillium Regular Upright" w:hAnsi="Titillium Regular Upright" w:cstheme="minorHAnsi"/>
          <w:b/>
          <w:bCs/>
        </w:rPr>
        <w:t>Modello</w:t>
      </w:r>
      <w:r w:rsidR="003E600C" w:rsidRPr="008F5717">
        <w:rPr>
          <w:rFonts w:ascii="Titillium Regular Upright" w:hAnsi="Titillium Regular Upright" w:cstheme="minorHAnsi"/>
          <w:b/>
          <w:bCs/>
        </w:rPr>
        <w:t xml:space="preserve"> </w:t>
      </w:r>
      <w:r w:rsidR="00FE36B1" w:rsidRPr="008F5717">
        <w:rPr>
          <w:rFonts w:ascii="Titillium Regular Upright" w:hAnsi="Titillium Regular Upright" w:cstheme="minorHAnsi"/>
          <w:b/>
          <w:bCs/>
        </w:rPr>
        <w:t>C</w:t>
      </w:r>
      <w:r w:rsidR="00873ACA" w:rsidRPr="008F5717">
        <w:rPr>
          <w:rFonts w:ascii="Titillium Regular Upright" w:hAnsi="Titillium Regular Upright" w:cstheme="minorHAnsi"/>
          <w:b/>
          <w:bCs/>
        </w:rPr>
        <w:t>1</w:t>
      </w:r>
      <w:r w:rsidR="00571AC2" w:rsidRPr="008F5717">
        <w:rPr>
          <w:rFonts w:ascii="Titillium Regular Upright" w:hAnsi="Titillium Regular Upright" w:cstheme="minorHAnsi"/>
          <w:b/>
          <w:bCs/>
        </w:rPr>
        <w:t xml:space="preserve"> </w:t>
      </w:r>
    </w:p>
    <w:p w14:paraId="7B0E6C36" w14:textId="77777777" w:rsidR="00571AC2" w:rsidRPr="008F5717" w:rsidRDefault="00571AC2" w:rsidP="00E6043B">
      <w:pPr>
        <w:tabs>
          <w:tab w:val="left" w:pos="5812"/>
        </w:tabs>
        <w:autoSpaceDE w:val="0"/>
        <w:autoSpaceDN w:val="0"/>
        <w:adjustRightInd w:val="0"/>
        <w:jc w:val="right"/>
        <w:rPr>
          <w:rFonts w:ascii="Titillium Regular Upright" w:hAnsi="Titillium Regular Upright" w:cstheme="minorHAnsi"/>
          <w:b/>
        </w:rPr>
      </w:pPr>
      <w:r w:rsidRPr="008F5717">
        <w:rPr>
          <w:rFonts w:ascii="Titillium Regular Upright" w:hAnsi="Titillium Regular Upright" w:cstheme="minorHAnsi"/>
          <w:b/>
          <w:bCs/>
        </w:rPr>
        <w:t xml:space="preserve">                            </w:t>
      </w:r>
      <w:r w:rsidRPr="008F5717">
        <w:rPr>
          <w:rFonts w:ascii="Titillium Regular Upright" w:hAnsi="Titillium Regular Upright" w:cstheme="minorHAnsi"/>
          <w:b/>
          <w:bCs/>
        </w:rPr>
        <w:tab/>
      </w:r>
      <w:r w:rsidRPr="008F5717">
        <w:rPr>
          <w:rFonts w:ascii="Titillium Regular Upright" w:hAnsi="Titillium Regular Upright" w:cstheme="minorHAnsi"/>
          <w:b/>
          <w:bCs/>
        </w:rPr>
        <w:tab/>
      </w:r>
      <w:r w:rsidRPr="008F5717">
        <w:rPr>
          <w:rFonts w:ascii="Titillium Regular Upright" w:hAnsi="Titillium Regular Upright" w:cstheme="minorHAnsi"/>
          <w:b/>
          <w:bCs/>
        </w:rPr>
        <w:tab/>
      </w:r>
      <w:r w:rsidRPr="008F5717">
        <w:rPr>
          <w:rFonts w:ascii="Titillium Regular Upright" w:hAnsi="Titillium Regular Upright" w:cstheme="minorHAnsi"/>
          <w:b/>
          <w:bCs/>
        </w:rPr>
        <w:tab/>
      </w:r>
      <w:r w:rsidRPr="008F5717">
        <w:rPr>
          <w:rFonts w:ascii="Titillium Regular Upright" w:hAnsi="Titillium Regular Upright" w:cstheme="minorHAnsi"/>
          <w:b/>
          <w:bCs/>
        </w:rPr>
        <w:tab/>
      </w:r>
      <w:r w:rsidRPr="008F5717">
        <w:rPr>
          <w:rFonts w:ascii="Titillium Regular Upright" w:hAnsi="Titillium Regular Upright" w:cstheme="minorHAnsi"/>
          <w:b/>
          <w:bCs/>
        </w:rPr>
        <w:tab/>
        <w:t xml:space="preserve">     </w:t>
      </w:r>
      <w:r w:rsidR="00E6043B" w:rsidRPr="008F5717">
        <w:rPr>
          <w:rFonts w:ascii="Titillium Regular Upright" w:hAnsi="Titillium Regular Upright" w:cstheme="minorHAnsi"/>
          <w:b/>
          <w:bCs/>
        </w:rPr>
        <w:tab/>
        <w:t>G</w:t>
      </w:r>
      <w:r w:rsidR="00AA300E" w:rsidRPr="008F5717">
        <w:rPr>
          <w:rFonts w:ascii="Titillium Regular Upright" w:hAnsi="Titillium Regular Upright" w:cstheme="minorHAnsi"/>
          <w:b/>
        </w:rPr>
        <w:t xml:space="preserve">ara </w:t>
      </w:r>
    </w:p>
    <w:p w14:paraId="735A3DCA" w14:textId="77777777" w:rsidR="003B6C89" w:rsidRPr="008F5717" w:rsidRDefault="003B6C89" w:rsidP="00571AC2">
      <w:pPr>
        <w:jc w:val="both"/>
        <w:rPr>
          <w:rFonts w:ascii="Titillium Regular Upright" w:hAnsi="Titillium Regular Upright" w:cstheme="minorHAnsi"/>
          <w:b/>
        </w:rPr>
      </w:pPr>
    </w:p>
    <w:p w14:paraId="6801570E" w14:textId="77777777" w:rsidR="00CC1347" w:rsidRPr="008F5717" w:rsidRDefault="00E71EE2" w:rsidP="00571AC2">
      <w:pPr>
        <w:jc w:val="both"/>
        <w:rPr>
          <w:rFonts w:ascii="Titillium Regular Upright" w:hAnsi="Titillium Regular Upright" w:cstheme="minorHAnsi"/>
          <w:b/>
          <w:bCs/>
          <w:iCs/>
        </w:rPr>
      </w:pPr>
      <w:r w:rsidRPr="008F5717">
        <w:rPr>
          <w:rFonts w:ascii="Titillium Regular Upright" w:hAnsi="Titillium Regular Upright" w:cstheme="minorHAnsi"/>
          <w:b/>
          <w:bCs/>
          <w:iCs/>
        </w:rPr>
        <w:t>DICHIARAZIONI INTEGRATIVE:</w:t>
      </w:r>
    </w:p>
    <w:p w14:paraId="7868B7F2" w14:textId="450B47BE" w:rsidR="00E3303D" w:rsidRPr="008F5717" w:rsidRDefault="00571AC2" w:rsidP="00E3303D">
      <w:pPr>
        <w:jc w:val="both"/>
        <w:rPr>
          <w:rFonts w:ascii="Titillium Regular Upright" w:hAnsi="Titillium Regular Upright" w:cstheme="minorHAnsi"/>
          <w:b/>
          <w:bCs/>
          <w:lang w:eastAsia="ar-SA" w:bidi="it-IT"/>
        </w:rPr>
      </w:pPr>
      <w:r w:rsidRPr="008F5717">
        <w:rPr>
          <w:rFonts w:ascii="Titillium Regular Upright" w:hAnsi="Titillium Regular Upright" w:cstheme="minorHAnsi"/>
          <w:b/>
        </w:rPr>
        <w:t>Dichiarazioni sostitutive ai sensi degli articoli 46 e 47 del D.P.R. 445/2000 e s.m.i. (da sottoscrivere</w:t>
      </w:r>
      <w:r w:rsidR="00D26E24" w:rsidRPr="008F5717">
        <w:rPr>
          <w:rFonts w:ascii="Titillium Regular Upright" w:hAnsi="Titillium Regular Upright" w:cstheme="minorHAnsi"/>
          <w:b/>
        </w:rPr>
        <w:t xml:space="preserve"> </w:t>
      </w:r>
      <w:r w:rsidRPr="008F5717">
        <w:rPr>
          <w:rFonts w:ascii="Titillium Regular Upright" w:hAnsi="Titillium Regular Upright" w:cstheme="minorHAnsi"/>
          <w:b/>
        </w:rPr>
        <w:t>dai soggetti indicati nella nota 1 del presente modello)</w:t>
      </w:r>
      <w:r w:rsidR="00CC1347" w:rsidRPr="008F5717">
        <w:rPr>
          <w:rFonts w:ascii="Titillium Regular Upright" w:hAnsi="Titillium Regular Upright" w:cstheme="minorHAnsi"/>
          <w:b/>
        </w:rPr>
        <w:t xml:space="preserve"> per la</w:t>
      </w:r>
      <w:r w:rsidR="00CC1347" w:rsidRPr="008F5717">
        <w:rPr>
          <w:rFonts w:ascii="Titillium Regular Upright" w:hAnsi="Titillium Regular Upright" w:cstheme="minorHAnsi"/>
          <w:b/>
          <w:lang w:eastAsia="ar-SA"/>
        </w:rPr>
        <w:t xml:space="preserve"> procedura negoziata per l’acquisto </w:t>
      </w:r>
      <w:r w:rsidR="00C55B16" w:rsidRPr="008F5717">
        <w:rPr>
          <w:rFonts w:ascii="Titillium Regular Upright" w:hAnsi="Titillium Regular Upright" w:cstheme="minorHAnsi"/>
          <w:b/>
          <w:lang w:eastAsia="ar-SA"/>
        </w:rPr>
        <w:t xml:space="preserve">di </w:t>
      </w:r>
      <w:r w:rsidR="00E3303D" w:rsidRPr="008F5717">
        <w:rPr>
          <w:rFonts w:ascii="Titillium Regular Upright" w:hAnsi="Titillium Regular Upright" w:cstheme="minorHAnsi"/>
          <w:b/>
          <w:lang w:eastAsia="ar-SA"/>
        </w:rPr>
        <w:t>“</w:t>
      </w:r>
      <w:r w:rsidR="003D65CB" w:rsidRPr="008F5717">
        <w:rPr>
          <w:rFonts w:ascii="Titillium Regular Upright" w:hAnsi="Titillium Regular Upright" w:cstheme="minorHAnsi"/>
          <w:b/>
          <w:lang w:eastAsia="ar-SA"/>
        </w:rPr>
        <w:t>Fornitura di un dispositivo (chip) contenente almeno 30 quantum bits superconduttivi per il Laboratorio Quantum Computing</w:t>
      </w:r>
      <w:r w:rsidR="00E3303D" w:rsidRPr="008F5717">
        <w:rPr>
          <w:rFonts w:ascii="Titillium Regular Upright" w:hAnsi="Titillium Regular Upright" w:cstheme="minorHAnsi"/>
          <w:b/>
          <w:lang w:eastAsia="ar-SA"/>
        </w:rPr>
        <w:t xml:space="preserve">” </w:t>
      </w:r>
      <w:r w:rsidR="00C55B16" w:rsidRPr="008F5717">
        <w:rPr>
          <w:rFonts w:ascii="Titillium Regular Upright" w:hAnsi="Titillium Regular Upright" w:cstheme="minorHAnsi"/>
          <w:b/>
          <w:lang w:eastAsia="ar-SA"/>
        </w:rPr>
        <w:t xml:space="preserve">per i fabbisogni </w:t>
      </w:r>
      <w:r w:rsidR="00E3303D" w:rsidRPr="008F5717">
        <w:rPr>
          <w:rFonts w:ascii="Titillium Regular Upright" w:hAnsi="Titillium Regular Upright" w:cstheme="minorHAnsi"/>
          <w:b/>
          <w:lang w:eastAsia="ar-SA" w:bidi="it-IT"/>
        </w:rPr>
        <w:t xml:space="preserve">del </w:t>
      </w:r>
      <w:bookmarkStart w:id="2" w:name="_Hlk127978744"/>
      <w:r w:rsidR="00E3303D" w:rsidRPr="008F5717">
        <w:rPr>
          <w:rFonts w:ascii="Titillium Regular Upright" w:hAnsi="Titillium Regular Upright" w:cstheme="minorHAnsi"/>
          <w:b/>
          <w:lang w:eastAsia="ar-SA" w:bidi="it-IT"/>
        </w:rPr>
        <w:t>Centro Nazionale HPC, Big Data e Quantum Computing</w:t>
      </w:r>
      <w:r w:rsidR="00A15867" w:rsidRPr="008F5717">
        <w:rPr>
          <w:rFonts w:ascii="Titillium Regular Upright" w:hAnsi="Titillium Regular Upright" w:cstheme="minorHAnsi"/>
          <w:b/>
          <w:lang w:eastAsia="ar-SA" w:bidi="it-IT"/>
        </w:rPr>
        <w:t>,</w:t>
      </w:r>
      <w:r w:rsidR="00E3303D" w:rsidRPr="008F5717">
        <w:rPr>
          <w:rFonts w:ascii="Titillium Regular Upright" w:hAnsi="Titillium Regular Upright" w:cstheme="minorHAnsi"/>
          <w:b/>
          <w:lang w:eastAsia="ar-SA" w:bidi="it-IT"/>
        </w:rPr>
        <w:t xml:space="preserve"> </w:t>
      </w:r>
      <w:r w:rsidR="00E3303D" w:rsidRPr="008F5717">
        <w:rPr>
          <w:rFonts w:ascii="Titillium Regular Upright" w:hAnsi="Titillium Regular Upright" w:cstheme="minorHAnsi"/>
          <w:b/>
          <w:bCs/>
          <w:lang w:eastAsia="ar-SA" w:bidi="it-IT"/>
        </w:rPr>
        <w:t>Missione 4, Componente 2, Investimento 1.4</w:t>
      </w:r>
      <w:r w:rsidR="00A15867" w:rsidRPr="008F5717">
        <w:rPr>
          <w:rFonts w:ascii="Titillium Regular Upright" w:hAnsi="Titillium Regular Upright" w:cstheme="minorHAnsi"/>
          <w:b/>
          <w:bCs/>
          <w:lang w:eastAsia="ar-SA" w:bidi="it-IT"/>
        </w:rPr>
        <w:t>,</w:t>
      </w:r>
      <w:r w:rsidR="00E3303D" w:rsidRPr="008F5717">
        <w:rPr>
          <w:rFonts w:ascii="Titillium Regular Upright" w:hAnsi="Titillium Regular Upright" w:cstheme="minorHAnsi"/>
          <w:b/>
          <w:bCs/>
          <w:lang w:eastAsia="ar-SA" w:bidi="it-IT"/>
        </w:rPr>
        <w:t xml:space="preserve"> Codice progetto MUR: CN_00000013 -  CUP: E63C22000980007</w:t>
      </w:r>
    </w:p>
    <w:bookmarkEnd w:id="2"/>
    <w:p w14:paraId="1675AADA" w14:textId="6465BEBD" w:rsidR="00571AC2" w:rsidRPr="008F5717" w:rsidRDefault="00571AC2" w:rsidP="00571AC2">
      <w:pPr>
        <w:jc w:val="both"/>
        <w:rPr>
          <w:rFonts w:ascii="Titillium Regular Upright" w:hAnsi="Titillium Regular Upright" w:cstheme="minorHAnsi"/>
          <w:b/>
        </w:rPr>
      </w:pPr>
    </w:p>
    <w:p w14:paraId="3B281CDA" w14:textId="77777777" w:rsidR="00571AC2" w:rsidRPr="008F5717" w:rsidRDefault="00571AC2" w:rsidP="00571AC2">
      <w:pPr>
        <w:jc w:val="center"/>
        <w:rPr>
          <w:rFonts w:ascii="Titillium Regular Upright" w:hAnsi="Titillium Regular Upright" w:cstheme="minorHAnsi"/>
          <w:b/>
        </w:rPr>
      </w:pPr>
    </w:p>
    <w:p w14:paraId="0CE79EC1" w14:textId="77777777" w:rsidR="00571AC2" w:rsidRPr="008F5717" w:rsidRDefault="00571AC2" w:rsidP="00571AC2">
      <w:pPr>
        <w:jc w:val="both"/>
        <w:rPr>
          <w:rFonts w:ascii="Titillium Regular Upright" w:hAnsi="Titillium Regular Upright" w:cstheme="minorHAnsi"/>
        </w:rPr>
      </w:pPr>
    </w:p>
    <w:p w14:paraId="2CC21780" w14:textId="77777777" w:rsidR="00571AC2" w:rsidRPr="008F5717" w:rsidRDefault="00571AC2" w:rsidP="005E5A59">
      <w:pPr>
        <w:jc w:val="both"/>
        <w:rPr>
          <w:rFonts w:ascii="Titillium Regular Upright" w:hAnsi="Titillium Regular Upright" w:cstheme="minorHAnsi"/>
        </w:rPr>
      </w:pPr>
      <w:r w:rsidRPr="008F5717">
        <w:rPr>
          <w:rFonts w:ascii="Titillium Regular Upright" w:hAnsi="Titillium Regular Upright" w:cstheme="minorHAnsi"/>
        </w:rPr>
        <w:t>Il sottoscritto ______________________</w:t>
      </w:r>
      <w:r w:rsidR="005E5A59" w:rsidRPr="008F5717">
        <w:rPr>
          <w:rFonts w:ascii="Titillium Regular Upright" w:hAnsi="Titillium Regular Upright" w:cstheme="minorHAnsi"/>
        </w:rPr>
        <w:t>nato a</w:t>
      </w:r>
      <w:r w:rsidRPr="008F5717">
        <w:rPr>
          <w:rFonts w:ascii="Titillium Regular Upright" w:hAnsi="Titillium Regular Upright" w:cstheme="minorHAnsi"/>
        </w:rPr>
        <w:t>__</w:t>
      </w:r>
      <w:r w:rsidR="005E5A59" w:rsidRPr="008F5717">
        <w:rPr>
          <w:rFonts w:ascii="Titillium Regular Upright" w:hAnsi="Titillium Regular Upright" w:cstheme="minorHAnsi"/>
        </w:rPr>
        <w:t>___________ il _________</w:t>
      </w:r>
      <w:r w:rsidRPr="008F5717">
        <w:rPr>
          <w:rFonts w:ascii="Titillium Regular Upright" w:hAnsi="Titillium Regular Upright" w:cstheme="minorHAnsi"/>
        </w:rPr>
        <w:t xml:space="preserve">residente in ____________________ alla via __________________________ n. ________, </w:t>
      </w:r>
      <w:r w:rsidR="005E5A59" w:rsidRPr="008F5717">
        <w:rPr>
          <w:rFonts w:ascii="Titillium Regular Upright" w:hAnsi="Titillium Regular Upright" w:cstheme="minorHAnsi"/>
        </w:rPr>
        <w:t xml:space="preserve"> domiciliato in _______________</w:t>
      </w:r>
      <w:r w:rsidRPr="008F5717">
        <w:rPr>
          <w:rFonts w:ascii="Titillium Regular Upright" w:hAnsi="Titillium Regular Upright" w:cstheme="minorHAnsi"/>
        </w:rPr>
        <w:t xml:space="preserve">(compilare se diverso dalla residenza), alla via ________________________________,  in qualità di __________________________ della Ditta </w:t>
      </w:r>
      <w:r w:rsidR="005E5A59" w:rsidRPr="008F5717">
        <w:rPr>
          <w:rFonts w:ascii="Titillium Regular Upright" w:hAnsi="Titillium Regular Upright" w:cstheme="minorHAnsi"/>
        </w:rPr>
        <w:t>(denominazione/ragione sociale)</w:t>
      </w:r>
      <w:r w:rsidRPr="008F5717">
        <w:rPr>
          <w:rFonts w:ascii="Titillium Regular Upright" w:hAnsi="Titillium Regular Upright" w:cstheme="minorHAnsi"/>
        </w:rPr>
        <w:t>____________</w:t>
      </w:r>
      <w:r w:rsidR="005E5A59" w:rsidRPr="008F5717">
        <w:rPr>
          <w:rFonts w:ascii="Titillium Regular Upright" w:hAnsi="Titillium Regular Upright" w:cstheme="minorHAnsi"/>
        </w:rPr>
        <w:t>___________________________</w:t>
      </w:r>
      <w:r w:rsidRPr="008F5717">
        <w:rPr>
          <w:rFonts w:ascii="Titillium Regular Upright" w:hAnsi="Titillium Regular Upright" w:cstheme="minorHAnsi"/>
        </w:rPr>
        <w:t>consapevole delle sanzioni penali previste per le ipotesi di falsità in atti e dichiarazioni mendaci, nonché della decadenza dai benefici eventualmente conseguiti per effetto del provvedimento emanato sulla base della dichiarazione non veritiera (artt. 75 e 76 del D.P.R. 445/2000) sotto la propria responsabilità</w:t>
      </w:r>
    </w:p>
    <w:p w14:paraId="2D0C449F" w14:textId="77777777" w:rsidR="00571AC2" w:rsidRPr="008F5717" w:rsidRDefault="00571AC2" w:rsidP="00571AC2">
      <w:pPr>
        <w:autoSpaceDE w:val="0"/>
        <w:autoSpaceDN w:val="0"/>
        <w:adjustRightInd w:val="0"/>
        <w:jc w:val="both"/>
        <w:rPr>
          <w:rFonts w:ascii="Titillium Regular Upright" w:hAnsi="Titillium Regular Upright" w:cstheme="minorHAnsi"/>
        </w:rPr>
      </w:pPr>
    </w:p>
    <w:p w14:paraId="4AB1474D" w14:textId="77777777" w:rsidR="00571AC2" w:rsidRPr="008F5717" w:rsidRDefault="00571AC2" w:rsidP="00571AC2">
      <w:pPr>
        <w:autoSpaceDE w:val="0"/>
        <w:autoSpaceDN w:val="0"/>
        <w:adjustRightInd w:val="0"/>
        <w:jc w:val="center"/>
        <w:rPr>
          <w:rFonts w:ascii="Titillium Regular Upright" w:hAnsi="Titillium Regular Upright" w:cstheme="minorHAnsi"/>
          <w:b/>
        </w:rPr>
      </w:pPr>
      <w:r w:rsidRPr="008F5717">
        <w:rPr>
          <w:rFonts w:ascii="Titillium Regular Upright" w:hAnsi="Titillium Regular Upright" w:cstheme="minorHAnsi"/>
          <w:b/>
        </w:rPr>
        <w:t>DICHIARA (vedi nota 2):</w:t>
      </w:r>
    </w:p>
    <w:p w14:paraId="0E093004" w14:textId="77777777" w:rsidR="00571AC2" w:rsidRPr="008F5717" w:rsidRDefault="005A5AB8" w:rsidP="005A5AB8">
      <w:pPr>
        <w:tabs>
          <w:tab w:val="left" w:pos="290"/>
        </w:tabs>
        <w:autoSpaceDE w:val="0"/>
        <w:autoSpaceDN w:val="0"/>
        <w:adjustRightInd w:val="0"/>
        <w:rPr>
          <w:rFonts w:ascii="Titillium Regular Upright" w:hAnsi="Titillium Regular Upright" w:cstheme="minorHAnsi"/>
          <w:b/>
        </w:rPr>
      </w:pPr>
      <w:r w:rsidRPr="008F5717">
        <w:rPr>
          <w:rFonts w:ascii="Titillium Regular Upright" w:hAnsi="Titillium Regular Upright" w:cstheme="minorHAnsi"/>
          <w:b/>
        </w:rPr>
        <w:tab/>
        <w:t>a)</w:t>
      </w:r>
    </w:p>
    <w:p w14:paraId="1183B12B" w14:textId="77777777" w:rsidR="005A5AB8" w:rsidRPr="008F5717" w:rsidRDefault="005A5AB8" w:rsidP="00571AC2">
      <w:pPr>
        <w:autoSpaceDE w:val="0"/>
        <w:autoSpaceDN w:val="0"/>
        <w:adjustRightInd w:val="0"/>
        <w:jc w:val="center"/>
        <w:rPr>
          <w:rFonts w:ascii="Titillium Regular Upright" w:hAnsi="Titillium Regular Upright" w:cstheme="minorHAnsi"/>
          <w:b/>
        </w:rPr>
      </w:pPr>
    </w:p>
    <w:p w14:paraId="04307C71" w14:textId="5DCADA5F" w:rsidR="00571AC2" w:rsidRPr="008F5717" w:rsidRDefault="00571AC2" w:rsidP="003E600C">
      <w:pPr>
        <w:numPr>
          <w:ilvl w:val="0"/>
          <w:numId w:val="10"/>
        </w:numPr>
        <w:autoSpaceDE w:val="0"/>
        <w:autoSpaceDN w:val="0"/>
        <w:adjustRightInd w:val="0"/>
        <w:jc w:val="both"/>
        <w:rPr>
          <w:rFonts w:ascii="Titillium Regular Upright" w:hAnsi="Titillium Regular Upright" w:cstheme="minorHAnsi"/>
          <w:b/>
          <w:i/>
          <w:sz w:val="20"/>
          <w:szCs w:val="20"/>
        </w:rPr>
      </w:pPr>
      <w:r w:rsidRPr="008F5717">
        <w:rPr>
          <w:rFonts w:ascii="Titillium Regular Upright" w:hAnsi="Titillium Regular Upright" w:cstheme="minorHAnsi"/>
          <w:b/>
          <w:bCs/>
        </w:rPr>
        <w:t>a.</w:t>
      </w:r>
      <w:r w:rsidR="0030077F" w:rsidRPr="008F5717">
        <w:rPr>
          <w:rFonts w:ascii="Titillium Regular Upright" w:hAnsi="Titillium Regular Upright" w:cstheme="minorHAnsi"/>
          <w:b/>
          <w:bCs/>
        </w:rPr>
        <w:t>1</w:t>
      </w:r>
      <w:r w:rsidR="003E600C" w:rsidRPr="008F5717">
        <w:rPr>
          <w:rFonts w:ascii="Titillium Regular Upright" w:hAnsi="Titillium Regular Upright" w:cstheme="minorHAnsi"/>
          <w:b/>
          <w:bCs/>
        </w:rPr>
        <w:t>)</w:t>
      </w:r>
      <w:r w:rsidRPr="008F5717">
        <w:rPr>
          <w:rFonts w:ascii="Titillium Regular Upright" w:hAnsi="Titillium Regular Upright" w:cstheme="minorHAnsi"/>
          <w:b/>
          <w:bCs/>
        </w:rPr>
        <w:t xml:space="preserve"> </w:t>
      </w:r>
      <w:r w:rsidRPr="008F5717">
        <w:rPr>
          <w:rFonts w:ascii="Titillium Regular Upright" w:hAnsi="Titillium Regular Upright" w:cstheme="minorHAnsi"/>
        </w:rPr>
        <w:t xml:space="preserve">che nei propri confronti non </w:t>
      </w:r>
      <w:r w:rsidR="0030077F" w:rsidRPr="008F5717">
        <w:rPr>
          <w:rFonts w:ascii="Titillium Regular Upright" w:hAnsi="Titillium Regular Upright" w:cstheme="minorHAnsi"/>
        </w:rPr>
        <w:t xml:space="preserve">sussistono le condizioni di cui all’art. </w:t>
      </w:r>
      <w:r w:rsidR="007A07FD" w:rsidRPr="008F5717">
        <w:rPr>
          <w:rFonts w:ascii="Titillium Regular Upright" w:hAnsi="Titillium Regular Upright" w:cstheme="minorHAnsi"/>
        </w:rPr>
        <w:t>all’art. 94, co. 1, lett. a), b), c), d), e), f), g), h), del D. Lgs. 36/2023</w:t>
      </w:r>
      <w:r w:rsidR="008F5717">
        <w:rPr>
          <w:rFonts w:ascii="Titillium Regular Upright" w:hAnsi="Titillium Regular Upright" w:cstheme="minorHAnsi"/>
        </w:rPr>
        <w:t xml:space="preserve"> </w:t>
      </w:r>
      <w:r w:rsidR="008F5717" w:rsidRPr="008F5717">
        <w:rPr>
          <w:rFonts w:ascii="Titillium Regular Upright" w:hAnsi="Titillium Regular Upright" w:cstheme="minorHAnsi"/>
        </w:rPr>
        <w:t xml:space="preserve">e art. 53, comma 16, del </w:t>
      </w:r>
      <w:proofErr w:type="spellStart"/>
      <w:r w:rsidR="008F5717" w:rsidRPr="008F5717">
        <w:rPr>
          <w:rFonts w:ascii="Titillium Regular Upright" w:hAnsi="Titillium Regular Upright" w:cstheme="minorHAnsi"/>
        </w:rPr>
        <w:t>D.Lgs.</w:t>
      </w:r>
      <w:proofErr w:type="spellEnd"/>
      <w:r w:rsidR="008F5717" w:rsidRPr="008F5717">
        <w:rPr>
          <w:rFonts w:ascii="Titillium Regular Upright" w:hAnsi="Titillium Regular Upright" w:cstheme="minorHAnsi"/>
        </w:rPr>
        <w:t xml:space="preserve"> 165/2001 e successive modifiche</w:t>
      </w:r>
      <w:r w:rsidR="005A5AB8" w:rsidRPr="008F5717">
        <w:rPr>
          <w:rFonts w:ascii="Titillium Regular Upright" w:hAnsi="Titillium Regular Upright" w:cstheme="minorHAnsi"/>
        </w:rPr>
        <w:t>;</w:t>
      </w:r>
      <w:r w:rsidR="0030077F" w:rsidRPr="008F5717">
        <w:rPr>
          <w:rFonts w:ascii="Titillium Regular Upright" w:hAnsi="Titillium Regular Upright" w:cstheme="minorHAnsi"/>
        </w:rPr>
        <w:t xml:space="preserve"> </w:t>
      </w:r>
    </w:p>
    <w:p w14:paraId="4A285610" w14:textId="087A7EB4" w:rsidR="008F5717" w:rsidRDefault="008F5717" w:rsidP="008F5717">
      <w:pPr>
        <w:autoSpaceDE w:val="0"/>
        <w:autoSpaceDN w:val="0"/>
        <w:adjustRightInd w:val="0"/>
        <w:jc w:val="both"/>
        <w:rPr>
          <w:rFonts w:ascii="Titillium Regular Upright" w:hAnsi="Titillium Regular Upright" w:cstheme="minorHAnsi"/>
          <w:b/>
          <w:i/>
          <w:sz w:val="20"/>
          <w:szCs w:val="20"/>
        </w:rPr>
      </w:pPr>
    </w:p>
    <w:p w14:paraId="5E5B7F87" w14:textId="77384A76" w:rsidR="008F5717" w:rsidRDefault="008F5717" w:rsidP="008F5717">
      <w:pPr>
        <w:autoSpaceDE w:val="0"/>
        <w:autoSpaceDN w:val="0"/>
        <w:adjustRightInd w:val="0"/>
        <w:jc w:val="both"/>
        <w:rPr>
          <w:rFonts w:ascii="Titillium Regular Upright" w:hAnsi="Titillium Regular Upright" w:cstheme="minorHAnsi"/>
          <w:b/>
          <w:i/>
          <w:sz w:val="20"/>
          <w:szCs w:val="20"/>
        </w:rPr>
      </w:pPr>
    </w:p>
    <w:p w14:paraId="458D8AB3" w14:textId="77777777" w:rsidR="008F5717" w:rsidRPr="008F5717" w:rsidRDefault="008F5717" w:rsidP="008F5717">
      <w:pPr>
        <w:autoSpaceDE w:val="0"/>
        <w:autoSpaceDN w:val="0"/>
        <w:adjustRightInd w:val="0"/>
        <w:jc w:val="both"/>
        <w:rPr>
          <w:rFonts w:ascii="Titillium Regular Upright" w:hAnsi="Titillium Regular Upright" w:cstheme="minorHAnsi"/>
          <w:b/>
          <w:i/>
          <w:sz w:val="20"/>
          <w:szCs w:val="20"/>
        </w:rPr>
      </w:pPr>
      <w:bookmarkStart w:id="3" w:name="_GoBack"/>
      <w:bookmarkEnd w:id="3"/>
    </w:p>
    <w:p w14:paraId="5322A8E8" w14:textId="77777777" w:rsidR="005A5AB8" w:rsidRPr="008F5717" w:rsidRDefault="005A5AB8" w:rsidP="005A5AB8">
      <w:pPr>
        <w:autoSpaceDE w:val="0"/>
        <w:autoSpaceDN w:val="0"/>
        <w:adjustRightInd w:val="0"/>
        <w:ind w:left="720"/>
        <w:jc w:val="both"/>
        <w:rPr>
          <w:rFonts w:ascii="Titillium Regular Upright" w:hAnsi="Titillium Regular Upright" w:cstheme="minorHAnsi"/>
          <w:b/>
          <w:i/>
          <w:sz w:val="20"/>
          <w:szCs w:val="20"/>
        </w:rPr>
      </w:pPr>
    </w:p>
    <w:p w14:paraId="73B6AC69" w14:textId="77777777" w:rsidR="00571AC2" w:rsidRPr="008F5717" w:rsidRDefault="00571AC2" w:rsidP="00571AC2">
      <w:pPr>
        <w:tabs>
          <w:tab w:val="num" w:pos="720"/>
        </w:tabs>
        <w:spacing w:line="240" w:lineRule="atLeast"/>
        <w:ind w:left="720" w:hanging="360"/>
        <w:jc w:val="center"/>
        <w:rPr>
          <w:rFonts w:ascii="Titillium Regular Upright" w:hAnsi="Titillium Regular Upright" w:cstheme="minorHAnsi"/>
        </w:rPr>
      </w:pPr>
      <w:r w:rsidRPr="008F5717">
        <w:rPr>
          <w:rFonts w:ascii="Titillium Regular Upright" w:hAnsi="Titillium Regular Upright" w:cstheme="minorHAnsi"/>
          <w:b/>
        </w:rPr>
        <w:lastRenderedPageBreak/>
        <w:t>ovvero (cfr. nota A)</w:t>
      </w:r>
    </w:p>
    <w:p w14:paraId="42013A12" w14:textId="77777777" w:rsidR="00571AC2" w:rsidRPr="008F5717" w:rsidRDefault="00571AC2" w:rsidP="00571AC2">
      <w:pPr>
        <w:tabs>
          <w:tab w:val="num" w:pos="0"/>
          <w:tab w:val="num" w:pos="360"/>
        </w:tabs>
        <w:spacing w:line="240" w:lineRule="atLeast"/>
        <w:jc w:val="both"/>
        <w:rPr>
          <w:rFonts w:ascii="Titillium Regular Upright" w:hAnsi="Titillium Regular Upright" w:cstheme="minorHAnsi"/>
          <w:b/>
          <w:i/>
          <w:sz w:val="20"/>
          <w:szCs w:val="20"/>
        </w:rPr>
      </w:pPr>
    </w:p>
    <w:p w14:paraId="441D9D2E" w14:textId="77777777" w:rsidR="003B6C89" w:rsidRPr="008F5717" w:rsidRDefault="0030077F" w:rsidP="003E600C">
      <w:pPr>
        <w:numPr>
          <w:ilvl w:val="0"/>
          <w:numId w:val="10"/>
        </w:numPr>
        <w:tabs>
          <w:tab w:val="num" w:pos="360"/>
        </w:tabs>
        <w:spacing w:line="240" w:lineRule="atLeast"/>
        <w:jc w:val="both"/>
        <w:rPr>
          <w:rFonts w:ascii="Titillium Regular Upright" w:hAnsi="Titillium Regular Upright" w:cstheme="minorHAnsi"/>
        </w:rPr>
      </w:pPr>
      <w:r w:rsidRPr="008F5717">
        <w:rPr>
          <w:rFonts w:ascii="Titillium Regular Upright" w:hAnsi="Titillium Regular Upright" w:cstheme="minorHAnsi"/>
          <w:b/>
        </w:rPr>
        <w:t>a.2</w:t>
      </w:r>
      <w:r w:rsidR="003E600C" w:rsidRPr="008F5717">
        <w:rPr>
          <w:rFonts w:ascii="Titillium Regular Upright" w:hAnsi="Titillium Regular Upright" w:cstheme="minorHAnsi"/>
          <w:b/>
        </w:rPr>
        <w:t>)</w:t>
      </w:r>
      <w:r w:rsidR="00571AC2" w:rsidRPr="008F5717">
        <w:rPr>
          <w:rFonts w:ascii="Titillium Regular Upright" w:hAnsi="Titillium Regular Upright" w:cstheme="minorHAnsi"/>
        </w:rPr>
        <w:t xml:space="preserve"> di aver subito le seguenti condanne penali (ivi com</w:t>
      </w:r>
      <w:r w:rsidR="003B6C89" w:rsidRPr="008F5717">
        <w:rPr>
          <w:rFonts w:ascii="Titillium Regular Upright" w:hAnsi="Titillium Regular Upright" w:cstheme="minorHAnsi"/>
        </w:rPr>
        <w:t>prese quelle per le quali abbia beneficiato della non menzione):</w:t>
      </w:r>
    </w:p>
    <w:p w14:paraId="3F23C2FB" w14:textId="77777777" w:rsidR="00571AC2" w:rsidRPr="008F5717" w:rsidRDefault="00571AC2" w:rsidP="003B6C89">
      <w:pPr>
        <w:tabs>
          <w:tab w:val="num" w:pos="0"/>
          <w:tab w:val="num" w:pos="360"/>
        </w:tabs>
        <w:spacing w:line="240" w:lineRule="atLeast"/>
        <w:jc w:val="both"/>
        <w:rPr>
          <w:rFonts w:ascii="Titillium Regular Upright" w:hAnsi="Titillium Regular Upright" w:cstheme="minorHAnsi"/>
        </w:rPr>
      </w:pPr>
      <w:r w:rsidRPr="008F5717">
        <w:rPr>
          <w:rFonts w:ascii="Titillium Regular Upright" w:hAnsi="Titillium Regular Upright" w:cstheme="minorHAnsi"/>
        </w:rPr>
        <w:t>_____________________________________________________________________________________________________________________________________________</w:t>
      </w:r>
      <w:r w:rsidR="003B6C89" w:rsidRPr="008F5717">
        <w:rPr>
          <w:rFonts w:ascii="Titillium Regular Upright" w:hAnsi="Titillium Regular Upright" w:cstheme="minorHAnsi"/>
        </w:rPr>
        <w:t>___________________</w:t>
      </w:r>
    </w:p>
    <w:p w14:paraId="59FBE5C8" w14:textId="77777777" w:rsidR="005A5AB8" w:rsidRPr="008F5717" w:rsidRDefault="005A5AB8" w:rsidP="003B6C89">
      <w:pPr>
        <w:tabs>
          <w:tab w:val="num" w:pos="0"/>
          <w:tab w:val="num" w:pos="360"/>
        </w:tabs>
        <w:spacing w:line="240" w:lineRule="atLeast"/>
        <w:jc w:val="both"/>
        <w:rPr>
          <w:rFonts w:ascii="Titillium Regular Upright" w:hAnsi="Titillium Regular Upright" w:cstheme="minorHAnsi"/>
          <w:b/>
          <w:i/>
          <w:sz w:val="20"/>
          <w:szCs w:val="20"/>
        </w:rPr>
      </w:pPr>
    </w:p>
    <w:p w14:paraId="2FAB1840" w14:textId="77777777" w:rsidR="003B6C89" w:rsidRPr="008F5717" w:rsidRDefault="003B6C89" w:rsidP="00571AC2">
      <w:pPr>
        <w:autoSpaceDE w:val="0"/>
        <w:autoSpaceDN w:val="0"/>
        <w:adjustRightInd w:val="0"/>
        <w:jc w:val="both"/>
        <w:rPr>
          <w:rFonts w:ascii="Titillium Regular Upright" w:hAnsi="Titillium Regular Upright" w:cstheme="minorHAnsi"/>
          <w:b/>
        </w:rPr>
      </w:pPr>
    </w:p>
    <w:p w14:paraId="51CE2CFC" w14:textId="5D2F91C4" w:rsidR="005A5AB8" w:rsidRPr="008F5717" w:rsidRDefault="005A5AB8" w:rsidP="005A5AB8">
      <w:pPr>
        <w:autoSpaceDE w:val="0"/>
        <w:autoSpaceDN w:val="0"/>
        <w:adjustRightInd w:val="0"/>
        <w:jc w:val="both"/>
        <w:rPr>
          <w:rFonts w:ascii="Titillium Regular Upright" w:hAnsi="Titillium Regular Upright" w:cstheme="minorHAnsi"/>
          <w:b/>
        </w:rPr>
      </w:pPr>
      <w:r w:rsidRPr="008F5717">
        <w:rPr>
          <w:rFonts w:ascii="Titillium Regular Upright" w:hAnsi="Titillium Regular Upright" w:cstheme="minorHAnsi"/>
          <w:b/>
        </w:rPr>
        <w:t xml:space="preserve">b) in ordine </w:t>
      </w:r>
      <w:r w:rsidR="007A07FD" w:rsidRPr="008F5717">
        <w:rPr>
          <w:rFonts w:ascii="Titillium Regular Upright" w:hAnsi="Titillium Regular Upright" w:cstheme="minorHAnsi"/>
          <w:b/>
        </w:rPr>
        <w:t xml:space="preserve">all’art. 94, comma 2, D. Lgs. 36/2023 e </w:t>
      </w:r>
      <w:proofErr w:type="spellStart"/>
      <w:r w:rsidR="007A07FD" w:rsidRPr="008F5717">
        <w:rPr>
          <w:rFonts w:ascii="Titillium Regular Upright" w:hAnsi="Titillium Regular Upright" w:cstheme="minorHAnsi"/>
          <w:b/>
        </w:rPr>
        <w:t>s.m.i.</w:t>
      </w:r>
      <w:proofErr w:type="spellEnd"/>
      <w:r w:rsidRPr="008F5717">
        <w:rPr>
          <w:rFonts w:ascii="Titillium Regular Upright" w:hAnsi="Titillium Regular Upright" w:cstheme="minorHAnsi"/>
          <w:b/>
        </w:rPr>
        <w:t>:</w:t>
      </w:r>
    </w:p>
    <w:p w14:paraId="6DA0A24D" w14:textId="77777777" w:rsidR="003E600C" w:rsidRPr="008F5717" w:rsidRDefault="003E600C" w:rsidP="00571AC2">
      <w:pPr>
        <w:autoSpaceDE w:val="0"/>
        <w:autoSpaceDN w:val="0"/>
        <w:adjustRightInd w:val="0"/>
        <w:jc w:val="both"/>
        <w:rPr>
          <w:rFonts w:ascii="Titillium Regular Upright" w:hAnsi="Titillium Regular Upright" w:cstheme="minorHAnsi"/>
          <w:b/>
        </w:rPr>
      </w:pPr>
    </w:p>
    <w:p w14:paraId="467F4D3F" w14:textId="77777777" w:rsidR="005A5AB8" w:rsidRPr="008F5717" w:rsidRDefault="005A5AB8" w:rsidP="005A5AB8">
      <w:pPr>
        <w:autoSpaceDE w:val="0"/>
        <w:autoSpaceDN w:val="0"/>
        <w:adjustRightInd w:val="0"/>
        <w:ind w:left="709" w:hanging="283"/>
        <w:jc w:val="both"/>
        <w:rPr>
          <w:rFonts w:ascii="Titillium Regular Upright" w:hAnsi="Titillium Regular Upright" w:cstheme="minorHAnsi"/>
          <w:b/>
        </w:rPr>
      </w:pPr>
      <w:r w:rsidRPr="008F5717">
        <w:rPr>
          <w:rFonts w:ascii="Titillium Regular Upright" w:hAnsi="Titillium Regular Upright" w:cstheme="minorHAnsi"/>
          <w:b/>
        </w:rPr>
        <w:sym w:font="Wingdings" w:char="F0A8"/>
      </w:r>
      <w:r w:rsidRPr="008F5717">
        <w:rPr>
          <w:rFonts w:ascii="Titillium Regular Upright" w:hAnsi="Titillium Regular Upright" w:cstheme="minorHAnsi"/>
          <w:b/>
        </w:rPr>
        <w:t xml:space="preserve"> b.1) </w:t>
      </w:r>
      <w:r w:rsidRPr="008F5717">
        <w:rPr>
          <w:rFonts w:ascii="Titillium Regular Upright" w:hAnsi="Titillium Regular Upright" w:cstheme="minorHAnsi"/>
        </w:rPr>
        <w:t xml:space="preserve">che, nei propri confronti non sussiste alcuna causa di decadenza o sospensione o divieto di cui all’art. 67 del D. Lgs. 159/2011 e s.m.i. o di un tentativo di infiltrazione mafiosa di cui all’art. 84, co. 4, del medesimo decreto (fermo restando quanto previsto dagli </w:t>
      </w:r>
      <w:hyperlink r:id="rId10" w:anchor="088" w:history="1">
        <w:r w:rsidRPr="008F5717">
          <w:rPr>
            <w:rStyle w:val="Collegamentoipertestuale"/>
            <w:rFonts w:ascii="Titillium Regular Upright" w:hAnsi="Titillium Regular Upright" w:cstheme="minorHAnsi"/>
            <w:color w:val="auto"/>
            <w:u w:val="none"/>
          </w:rPr>
          <w:t>articoli 88, comma 4-bis</w:t>
        </w:r>
      </w:hyperlink>
      <w:r w:rsidRPr="008F5717">
        <w:rPr>
          <w:rFonts w:ascii="Titillium Regular Upright" w:hAnsi="Titillium Regular Upright" w:cstheme="minorHAnsi"/>
        </w:rPr>
        <w:t xml:space="preserve">, e </w:t>
      </w:r>
      <w:hyperlink r:id="rId11" w:anchor="092" w:history="1">
        <w:r w:rsidRPr="008F5717">
          <w:rPr>
            <w:rStyle w:val="Collegamentoipertestuale"/>
            <w:rFonts w:ascii="Titillium Regular Upright" w:hAnsi="Titillium Regular Upright" w:cstheme="minorHAnsi"/>
            <w:color w:val="auto"/>
            <w:u w:val="none"/>
          </w:rPr>
          <w:t>92, commi 2 e 3, del D. Lgs. 159/2011,</w:t>
        </w:r>
      </w:hyperlink>
      <w:r w:rsidRPr="008F5717">
        <w:rPr>
          <w:rFonts w:ascii="Titillium Regular Upright" w:hAnsi="Titillium Regular Upright" w:cstheme="minorHAnsi"/>
        </w:rPr>
        <w:t xml:space="preserve"> con riferimento rispettivamente alle comunicazioni antimafia e alle informazioni antimafia);</w:t>
      </w:r>
    </w:p>
    <w:p w14:paraId="1CC34BAC" w14:textId="77777777" w:rsidR="005A5AB8" w:rsidRPr="008F5717" w:rsidRDefault="005A5AB8" w:rsidP="005A5AB8">
      <w:pPr>
        <w:tabs>
          <w:tab w:val="left" w:pos="4510"/>
        </w:tabs>
        <w:autoSpaceDE w:val="0"/>
        <w:autoSpaceDN w:val="0"/>
        <w:adjustRightInd w:val="0"/>
        <w:ind w:left="709" w:hanging="283"/>
        <w:jc w:val="both"/>
        <w:rPr>
          <w:rFonts w:ascii="Titillium Regular Upright" w:hAnsi="Titillium Regular Upright" w:cstheme="minorHAnsi"/>
          <w:b/>
        </w:rPr>
      </w:pPr>
      <w:r w:rsidRPr="008F5717">
        <w:rPr>
          <w:rFonts w:ascii="Titillium Regular Upright" w:hAnsi="Titillium Regular Upright" w:cstheme="minorHAnsi"/>
          <w:b/>
        </w:rPr>
        <w:tab/>
      </w:r>
      <w:r w:rsidRPr="008F5717">
        <w:rPr>
          <w:rFonts w:ascii="Titillium Regular Upright" w:hAnsi="Titillium Regular Upright" w:cstheme="minorHAnsi"/>
          <w:b/>
        </w:rPr>
        <w:tab/>
      </w:r>
    </w:p>
    <w:p w14:paraId="0B3ABA8A" w14:textId="77777777" w:rsidR="005A5AB8" w:rsidRPr="008F5717" w:rsidRDefault="005A5AB8" w:rsidP="005A5AB8">
      <w:pPr>
        <w:tabs>
          <w:tab w:val="left" w:pos="4510"/>
        </w:tabs>
        <w:autoSpaceDE w:val="0"/>
        <w:autoSpaceDN w:val="0"/>
        <w:adjustRightInd w:val="0"/>
        <w:ind w:left="709" w:hanging="283"/>
        <w:jc w:val="center"/>
        <w:rPr>
          <w:rFonts w:ascii="Titillium Regular Upright" w:hAnsi="Titillium Regular Upright" w:cstheme="minorHAnsi"/>
          <w:b/>
        </w:rPr>
      </w:pPr>
      <w:r w:rsidRPr="008F5717">
        <w:rPr>
          <w:rFonts w:ascii="Titillium Regular Upright" w:hAnsi="Titillium Regular Upright" w:cstheme="minorHAnsi"/>
          <w:b/>
        </w:rPr>
        <w:t>ovvero (cfr. nota A)</w:t>
      </w:r>
    </w:p>
    <w:p w14:paraId="6712E452" w14:textId="77777777" w:rsidR="005A5AB8" w:rsidRPr="008F5717" w:rsidRDefault="005A5AB8" w:rsidP="005A5AB8">
      <w:pPr>
        <w:tabs>
          <w:tab w:val="left" w:pos="4510"/>
        </w:tabs>
        <w:autoSpaceDE w:val="0"/>
        <w:autoSpaceDN w:val="0"/>
        <w:adjustRightInd w:val="0"/>
        <w:ind w:left="709" w:hanging="283"/>
        <w:jc w:val="both"/>
        <w:rPr>
          <w:rFonts w:ascii="Titillium Regular Upright" w:hAnsi="Titillium Regular Upright" w:cstheme="minorHAnsi"/>
          <w:b/>
        </w:rPr>
      </w:pPr>
    </w:p>
    <w:p w14:paraId="5ACE13BA" w14:textId="77777777" w:rsidR="005A5AB8" w:rsidRPr="008F5717" w:rsidRDefault="005A5AB8" w:rsidP="005A5AB8">
      <w:pPr>
        <w:autoSpaceDE w:val="0"/>
        <w:autoSpaceDN w:val="0"/>
        <w:adjustRightInd w:val="0"/>
        <w:ind w:left="709" w:hanging="283"/>
        <w:jc w:val="both"/>
        <w:rPr>
          <w:rFonts w:ascii="Titillium Regular Upright" w:hAnsi="Titillium Regular Upright" w:cstheme="minorHAnsi"/>
        </w:rPr>
      </w:pPr>
      <w:r w:rsidRPr="008F5717">
        <w:rPr>
          <w:rFonts w:ascii="Titillium Regular Upright" w:hAnsi="Titillium Regular Upright" w:cstheme="minorHAnsi"/>
          <w:b/>
        </w:rPr>
        <w:sym w:font="Wingdings" w:char="F0A8"/>
      </w:r>
      <w:r w:rsidRPr="008F5717">
        <w:rPr>
          <w:rFonts w:ascii="Titillium Regular Upright" w:hAnsi="Titillium Regular Upright" w:cstheme="minorHAnsi"/>
          <w:b/>
        </w:rPr>
        <w:t xml:space="preserve"> </w:t>
      </w:r>
      <w:r w:rsidR="00D87B5D" w:rsidRPr="008F5717">
        <w:rPr>
          <w:rFonts w:ascii="Titillium Regular Upright" w:hAnsi="Titillium Regular Upright" w:cstheme="minorHAnsi"/>
          <w:b/>
        </w:rPr>
        <w:t>b</w:t>
      </w:r>
      <w:r w:rsidRPr="008F5717">
        <w:rPr>
          <w:rFonts w:ascii="Titillium Regular Upright" w:hAnsi="Titillium Regular Upright" w:cstheme="minorHAnsi"/>
          <w:b/>
        </w:rPr>
        <w:t>.</w:t>
      </w:r>
      <w:r w:rsidR="00D87B5D" w:rsidRPr="008F5717">
        <w:rPr>
          <w:rFonts w:ascii="Titillium Regular Upright" w:hAnsi="Titillium Regular Upright" w:cstheme="minorHAnsi"/>
          <w:b/>
        </w:rPr>
        <w:t>2</w:t>
      </w:r>
      <w:r w:rsidRPr="008F5717">
        <w:rPr>
          <w:rFonts w:ascii="Titillium Regular Upright" w:hAnsi="Titillium Regular Upright" w:cstheme="minorHAnsi"/>
          <w:b/>
        </w:rPr>
        <w:t xml:space="preserve">) </w:t>
      </w:r>
      <w:r w:rsidRPr="008F5717">
        <w:rPr>
          <w:rFonts w:ascii="Titillium Regular Upright" w:hAnsi="Titillium Regular Upright" w:cstheme="minorHAnsi"/>
        </w:rPr>
        <w:t xml:space="preserve">che nei propri confronti sussistono le seguenti cause di decadenza o sospensione o divieto di cui all’art. 67 del D. Lgs. 159/2011 e s.m.i. o di un tentativo di infiltrazione mafiosa di cui all’art. 84, co. 4, del medesimo decreto (fermo restando quanto previsto dagli </w:t>
      </w:r>
      <w:hyperlink r:id="rId12" w:anchor="088" w:history="1">
        <w:r w:rsidRPr="008F5717">
          <w:rPr>
            <w:rStyle w:val="Collegamentoipertestuale"/>
            <w:rFonts w:ascii="Titillium Regular Upright" w:hAnsi="Titillium Regular Upright" w:cstheme="minorHAnsi"/>
            <w:color w:val="auto"/>
            <w:u w:val="none"/>
          </w:rPr>
          <w:t>articoli 88, comma 4-bis</w:t>
        </w:r>
      </w:hyperlink>
      <w:r w:rsidRPr="008F5717">
        <w:rPr>
          <w:rFonts w:ascii="Titillium Regular Upright" w:hAnsi="Titillium Regular Upright" w:cstheme="minorHAnsi"/>
        </w:rPr>
        <w:t xml:space="preserve">, e </w:t>
      </w:r>
      <w:hyperlink r:id="rId13" w:anchor="092" w:history="1">
        <w:r w:rsidRPr="008F5717">
          <w:rPr>
            <w:rStyle w:val="Collegamentoipertestuale"/>
            <w:rFonts w:ascii="Titillium Regular Upright" w:hAnsi="Titillium Regular Upright" w:cstheme="minorHAnsi"/>
            <w:color w:val="auto"/>
            <w:u w:val="none"/>
          </w:rPr>
          <w:t>92, commi 2 e 3, del D. Lgs. 159/2011,</w:t>
        </w:r>
      </w:hyperlink>
      <w:r w:rsidRPr="008F5717">
        <w:rPr>
          <w:rFonts w:ascii="Titillium Regular Upright" w:hAnsi="Titillium Regular Upright" w:cstheme="minorHAnsi"/>
        </w:rPr>
        <w:t xml:space="preserve"> con riferimento rispettivamente alle comunicazioni antimafia e alle informazioni antimafia)</w:t>
      </w:r>
      <w:r w:rsidR="00D87B5D" w:rsidRPr="008F5717">
        <w:rPr>
          <w:rFonts w:ascii="Titillium Regular Upright" w:hAnsi="Titillium Regular Upright" w:cstheme="minorHAnsi"/>
        </w:rPr>
        <w:t>:</w:t>
      </w:r>
    </w:p>
    <w:p w14:paraId="2ED79CAA" w14:textId="77777777" w:rsidR="005A5AB8" w:rsidRPr="008F5717" w:rsidRDefault="005A5AB8" w:rsidP="005A5AB8">
      <w:pPr>
        <w:autoSpaceDE w:val="0"/>
        <w:autoSpaceDN w:val="0"/>
        <w:adjustRightInd w:val="0"/>
        <w:jc w:val="both"/>
        <w:rPr>
          <w:rFonts w:ascii="Titillium Regular Upright" w:hAnsi="Titillium Regular Upright" w:cstheme="minorHAnsi"/>
        </w:rPr>
      </w:pPr>
      <w:r w:rsidRPr="008F5717">
        <w:rPr>
          <w:rFonts w:ascii="Titillium Regular Upright" w:hAnsi="Titillium Regular Upright" w:cstheme="minorHAnsi"/>
        </w:rPr>
        <w:t>________________________________________________________________________________________________________________________________________________________________</w:t>
      </w:r>
    </w:p>
    <w:p w14:paraId="20A1F449" w14:textId="77777777" w:rsidR="005A5AB8" w:rsidRPr="008F5717" w:rsidRDefault="005A5AB8" w:rsidP="00571AC2">
      <w:pPr>
        <w:autoSpaceDE w:val="0"/>
        <w:autoSpaceDN w:val="0"/>
        <w:adjustRightInd w:val="0"/>
        <w:jc w:val="both"/>
        <w:rPr>
          <w:rFonts w:ascii="Titillium Regular Upright" w:hAnsi="Titillium Regular Upright" w:cstheme="minorHAnsi"/>
          <w:b/>
        </w:rPr>
      </w:pPr>
    </w:p>
    <w:p w14:paraId="002555C9" w14:textId="77777777" w:rsidR="00571AC2" w:rsidRPr="008F5717" w:rsidRDefault="00571AC2" w:rsidP="00571AC2">
      <w:pPr>
        <w:autoSpaceDE w:val="0"/>
        <w:autoSpaceDN w:val="0"/>
        <w:adjustRightInd w:val="0"/>
        <w:jc w:val="both"/>
        <w:rPr>
          <w:rFonts w:ascii="Titillium Regular Upright" w:hAnsi="Titillium Regular Upright" w:cstheme="minorHAnsi"/>
          <w:iCs/>
        </w:rPr>
      </w:pPr>
    </w:p>
    <w:p w14:paraId="3358BB84" w14:textId="77777777" w:rsidR="00E87776" w:rsidRPr="008F5717" w:rsidRDefault="00E87776" w:rsidP="00571AC2">
      <w:pPr>
        <w:autoSpaceDE w:val="0"/>
        <w:autoSpaceDN w:val="0"/>
        <w:adjustRightInd w:val="0"/>
        <w:jc w:val="both"/>
        <w:rPr>
          <w:rFonts w:ascii="Titillium Regular Upright" w:hAnsi="Titillium Regular Upright" w:cstheme="minorHAnsi"/>
          <w:iCs/>
        </w:rPr>
      </w:pPr>
    </w:p>
    <w:p w14:paraId="6E1E72F8" w14:textId="77777777" w:rsidR="00571AC2" w:rsidRPr="008F5717" w:rsidRDefault="00571AC2" w:rsidP="00571AC2">
      <w:pPr>
        <w:autoSpaceDE w:val="0"/>
        <w:autoSpaceDN w:val="0"/>
        <w:adjustRightInd w:val="0"/>
        <w:jc w:val="both"/>
        <w:rPr>
          <w:rFonts w:ascii="Titillium Regular Upright" w:hAnsi="Titillium Regular Upright" w:cstheme="minorHAnsi"/>
        </w:rPr>
      </w:pPr>
      <w:r w:rsidRPr="008F5717">
        <w:rPr>
          <w:rFonts w:ascii="Titillium Regular Upright" w:hAnsi="Titillium Regular Upright" w:cstheme="minorHAnsi"/>
        </w:rPr>
        <w:t>Data____________</w:t>
      </w:r>
      <w:r w:rsidRPr="008F5717">
        <w:rPr>
          <w:rFonts w:ascii="Titillium Regular Upright" w:hAnsi="Titillium Regular Upright" w:cstheme="minorHAnsi"/>
        </w:rPr>
        <w:tab/>
      </w:r>
      <w:r w:rsidRPr="008F5717">
        <w:rPr>
          <w:rFonts w:ascii="Titillium Regular Upright" w:hAnsi="Titillium Regular Upright" w:cstheme="minorHAnsi"/>
        </w:rPr>
        <w:tab/>
      </w:r>
      <w:r w:rsidRPr="008F5717">
        <w:rPr>
          <w:rFonts w:ascii="Titillium Regular Upright" w:hAnsi="Titillium Regular Upright" w:cstheme="minorHAnsi"/>
        </w:rPr>
        <w:tab/>
      </w:r>
      <w:r w:rsidRPr="008F5717">
        <w:rPr>
          <w:rFonts w:ascii="Titillium Regular Upright" w:hAnsi="Titillium Regular Upright" w:cstheme="minorHAnsi"/>
        </w:rPr>
        <w:tab/>
      </w:r>
      <w:r w:rsidRPr="008F5717">
        <w:rPr>
          <w:rFonts w:ascii="Titillium Regular Upright" w:hAnsi="Titillium Regular Upright" w:cstheme="minorHAnsi"/>
        </w:rPr>
        <w:tab/>
      </w:r>
      <w:r w:rsidRPr="008F5717">
        <w:rPr>
          <w:rFonts w:ascii="Titillium Regular Upright" w:hAnsi="Titillium Regular Upright" w:cstheme="minorHAnsi"/>
        </w:rPr>
        <w:tab/>
      </w:r>
      <w:r w:rsidRPr="008F5717">
        <w:rPr>
          <w:rFonts w:ascii="Titillium Regular Upright" w:hAnsi="Titillium Regular Upright" w:cstheme="minorHAnsi"/>
        </w:rPr>
        <w:tab/>
      </w:r>
      <w:r w:rsidRPr="008F5717">
        <w:rPr>
          <w:rFonts w:ascii="Titillium Regular Upright" w:hAnsi="Titillium Regular Upright" w:cstheme="minorHAnsi"/>
        </w:rPr>
        <w:tab/>
        <w:t xml:space="preserve">    FIRMA</w:t>
      </w:r>
    </w:p>
    <w:p w14:paraId="212D8F47" w14:textId="27F66854" w:rsidR="00571AC2" w:rsidRPr="008F5717" w:rsidRDefault="00571AC2" w:rsidP="00571AC2">
      <w:pPr>
        <w:autoSpaceDE w:val="0"/>
        <w:autoSpaceDN w:val="0"/>
        <w:adjustRightInd w:val="0"/>
        <w:jc w:val="both"/>
        <w:rPr>
          <w:rFonts w:ascii="Titillium Regular Upright" w:hAnsi="Titillium Regular Upright" w:cstheme="minorHAnsi"/>
        </w:rPr>
      </w:pPr>
      <w:r w:rsidRPr="008F5717">
        <w:rPr>
          <w:rFonts w:ascii="Titillium Regular Upright" w:hAnsi="Titillium Regular Upright" w:cstheme="minorHAnsi"/>
        </w:rPr>
        <w:tab/>
      </w:r>
      <w:r w:rsidRPr="008F5717">
        <w:rPr>
          <w:rFonts w:ascii="Titillium Regular Upright" w:hAnsi="Titillium Regular Upright" w:cstheme="minorHAnsi"/>
        </w:rPr>
        <w:tab/>
      </w:r>
      <w:r w:rsidRPr="008F5717">
        <w:rPr>
          <w:rFonts w:ascii="Titillium Regular Upright" w:hAnsi="Titillium Regular Upright" w:cstheme="minorHAnsi"/>
        </w:rPr>
        <w:tab/>
      </w:r>
      <w:r w:rsidRPr="008F5717">
        <w:rPr>
          <w:rFonts w:ascii="Titillium Regular Upright" w:hAnsi="Titillium Regular Upright" w:cstheme="minorHAnsi"/>
        </w:rPr>
        <w:tab/>
      </w:r>
      <w:r w:rsidRPr="008F5717">
        <w:rPr>
          <w:rFonts w:ascii="Titillium Regular Upright" w:hAnsi="Titillium Regular Upright" w:cstheme="minorHAnsi"/>
        </w:rPr>
        <w:tab/>
      </w:r>
      <w:r w:rsidRPr="008F5717">
        <w:rPr>
          <w:rFonts w:ascii="Titillium Regular Upright" w:hAnsi="Titillium Regular Upright" w:cstheme="minorHAnsi"/>
        </w:rPr>
        <w:tab/>
      </w:r>
      <w:r w:rsidRPr="008F5717">
        <w:rPr>
          <w:rFonts w:ascii="Titillium Regular Upright" w:hAnsi="Titillium Regular Upright" w:cstheme="minorHAnsi"/>
        </w:rPr>
        <w:tab/>
      </w:r>
      <w:r w:rsidRPr="008F5717">
        <w:rPr>
          <w:rFonts w:ascii="Titillium Regular Upright" w:hAnsi="Titillium Regular Upright" w:cstheme="minorHAnsi"/>
        </w:rPr>
        <w:tab/>
      </w:r>
      <w:r w:rsidRPr="008F5717">
        <w:rPr>
          <w:rFonts w:ascii="Titillium Regular Upright" w:hAnsi="Titillium Regular Upright" w:cstheme="minorHAnsi"/>
        </w:rPr>
        <w:tab/>
      </w:r>
      <w:r w:rsidR="00A15867" w:rsidRPr="008F5717">
        <w:rPr>
          <w:rFonts w:ascii="Titillium Regular Upright" w:hAnsi="Titillium Regular Upright" w:cstheme="minorHAnsi"/>
        </w:rPr>
        <w:t xml:space="preserve">     </w:t>
      </w:r>
      <w:r w:rsidRPr="008F5717">
        <w:rPr>
          <w:rFonts w:ascii="Titillium Regular Upright" w:hAnsi="Titillium Regular Upright" w:cstheme="minorHAnsi"/>
        </w:rPr>
        <w:t>______________________</w:t>
      </w:r>
      <w:r w:rsidR="005E5A59" w:rsidRPr="008F5717">
        <w:rPr>
          <w:rFonts w:ascii="Titillium Regular Upright" w:hAnsi="Titillium Regular Upright" w:cstheme="minorHAnsi"/>
        </w:rPr>
        <w:t>_____</w:t>
      </w:r>
      <w:r w:rsidR="00A15867" w:rsidRPr="008F5717">
        <w:rPr>
          <w:rFonts w:ascii="Titillium Regular Upright" w:hAnsi="Titillium Regular Upright" w:cstheme="minorHAnsi"/>
        </w:rPr>
        <w:t>_________________________________</w:t>
      </w:r>
    </w:p>
    <w:p w14:paraId="6BDE61F2" w14:textId="77777777" w:rsidR="00571AC2" w:rsidRPr="008F5717" w:rsidRDefault="00571AC2" w:rsidP="00571AC2">
      <w:pPr>
        <w:autoSpaceDE w:val="0"/>
        <w:autoSpaceDN w:val="0"/>
        <w:adjustRightInd w:val="0"/>
        <w:jc w:val="both"/>
        <w:rPr>
          <w:rFonts w:ascii="Titillium Regular Upright" w:hAnsi="Titillium Regular Upright" w:cstheme="minorHAnsi"/>
        </w:rPr>
      </w:pPr>
    </w:p>
    <w:p w14:paraId="4D6061DF" w14:textId="77777777" w:rsidR="00E87776" w:rsidRPr="008F5717" w:rsidRDefault="00E87776" w:rsidP="00571AC2">
      <w:pPr>
        <w:autoSpaceDE w:val="0"/>
        <w:autoSpaceDN w:val="0"/>
        <w:adjustRightInd w:val="0"/>
        <w:jc w:val="both"/>
        <w:rPr>
          <w:rFonts w:ascii="Titillium Regular Upright" w:hAnsi="Titillium Regular Upright" w:cstheme="minorHAnsi"/>
        </w:rPr>
      </w:pPr>
    </w:p>
    <w:p w14:paraId="059783A7" w14:textId="5EDC1ADD" w:rsidR="00793494" w:rsidRPr="008F5717" w:rsidRDefault="00793494" w:rsidP="00793494">
      <w:pPr>
        <w:pStyle w:val="regolamento"/>
        <w:pBdr>
          <w:bottom w:val="single" w:sz="12" w:space="1" w:color="auto"/>
        </w:pBdr>
        <w:rPr>
          <w:rFonts w:ascii="Titillium Regular Upright" w:hAnsi="Titillium Regular Upright" w:cstheme="minorHAnsi"/>
          <w:color w:val="FF0000"/>
          <w:sz w:val="16"/>
          <w:szCs w:val="16"/>
        </w:rPr>
      </w:pPr>
      <w:r w:rsidRPr="008F5717">
        <w:rPr>
          <w:rFonts w:ascii="Titillium Regular Upright" w:hAnsi="Titillium Regular Upright" w:cstheme="minorHAnsi"/>
          <w:sz w:val="16"/>
          <w:szCs w:val="16"/>
        </w:rPr>
        <w:t xml:space="preserve">Ai sensi e per gli effetti del Regolamento UE n.2016/679 del Parlamento europeo e del Consiglio del 27 aprile 2016 (sulla protezione delle persone fisiche con riguardo al trattamento dei dati personali, nonché alla libera circolazione di tali dati e che abroga la direttiva 95/46/CE l'Università informa che i dati personali, sensibili e giudiziari degli interessati sono trattati dall’Amministrazione conformemente a quanto prescritto da detto regolamento. Informativa ai sensi dell’articolo 13 del Regolamento UE n.2016/679: i dati dei concorrenti sono raccolti ai fini della partecipazione alla gara e verranno utilizzati esclusivamente per tale scopo e, comunque, nell’ambito delle attività istituzionali dell’Università degli Studi di Napoli Federico II, titolare del trattamento. All’interessato competono i diritti di cui all’art. 13, comma 2, lett. b), del citato regolamento. La comunicazione dei dati personali è pertanto necessaria ai fini degli adempimenti prescritti dal D. Lgs. </w:t>
      </w:r>
      <w:r w:rsidR="007A07FD" w:rsidRPr="008F5717">
        <w:rPr>
          <w:rFonts w:ascii="Titillium Regular Upright" w:hAnsi="Titillium Regular Upright" w:cstheme="minorHAnsi"/>
          <w:sz w:val="16"/>
          <w:szCs w:val="16"/>
        </w:rPr>
        <w:t>36</w:t>
      </w:r>
      <w:r w:rsidRPr="008F5717">
        <w:rPr>
          <w:rFonts w:ascii="Titillium Regular Upright" w:hAnsi="Titillium Regular Upright" w:cstheme="minorHAnsi"/>
          <w:sz w:val="16"/>
          <w:szCs w:val="16"/>
        </w:rPr>
        <w:t>/20</w:t>
      </w:r>
      <w:r w:rsidR="007A07FD" w:rsidRPr="008F5717">
        <w:rPr>
          <w:rFonts w:ascii="Titillium Regular Upright" w:hAnsi="Titillium Regular Upright" w:cstheme="minorHAnsi"/>
          <w:sz w:val="16"/>
          <w:szCs w:val="16"/>
        </w:rPr>
        <w:t>23</w:t>
      </w:r>
      <w:r w:rsidRPr="008F5717">
        <w:rPr>
          <w:rFonts w:ascii="Titillium Regular Upright" w:hAnsi="Titillium Regular Upright" w:cstheme="minorHAnsi"/>
          <w:sz w:val="16"/>
          <w:szCs w:val="16"/>
        </w:rPr>
        <w:t xml:space="preserve"> </w:t>
      </w:r>
      <w:proofErr w:type="spellStart"/>
      <w:r w:rsidRPr="008F5717">
        <w:rPr>
          <w:rFonts w:ascii="Titillium Regular Upright" w:hAnsi="Titillium Regular Upright" w:cstheme="minorHAnsi"/>
          <w:sz w:val="16"/>
          <w:szCs w:val="16"/>
        </w:rPr>
        <w:t>s.m.i.</w:t>
      </w:r>
      <w:proofErr w:type="spellEnd"/>
      <w:r w:rsidRPr="008F5717">
        <w:rPr>
          <w:rFonts w:ascii="Titillium Regular Upright" w:hAnsi="Titillium Regular Upright" w:cstheme="minorHAnsi"/>
          <w:sz w:val="16"/>
          <w:szCs w:val="16"/>
        </w:rPr>
        <w:t xml:space="preserve"> (a titolo esemplificativo le verifiche </w:t>
      </w:r>
      <w:r w:rsidRPr="008F5717">
        <w:rPr>
          <w:rFonts w:ascii="Titillium Regular Upright" w:hAnsi="Titillium Regular Upright" w:cstheme="minorHAnsi"/>
          <w:i/>
          <w:sz w:val="16"/>
          <w:szCs w:val="16"/>
        </w:rPr>
        <w:t>ex lege</w:t>
      </w:r>
      <w:r w:rsidRPr="008F5717">
        <w:rPr>
          <w:rFonts w:ascii="Titillium Regular Upright" w:hAnsi="Titillium Regular Upright" w:cstheme="minorHAnsi"/>
          <w:sz w:val="16"/>
          <w:szCs w:val="16"/>
        </w:rPr>
        <w:t xml:space="preserve"> in capo all’aggiudicatario e a campione sui concorrenti) in quanto la mancata comunicazione degli stessi determinerebbe l’impossibilità da parte dell’Amministrazione di osservare i sopra citati adempimenti.</w:t>
      </w:r>
    </w:p>
    <w:p w14:paraId="33D167A4" w14:textId="77777777" w:rsidR="00A15867" w:rsidRPr="008F5717" w:rsidRDefault="00A15867" w:rsidP="00F572FF">
      <w:pPr>
        <w:spacing w:line="240" w:lineRule="atLeast"/>
        <w:ind w:left="-48" w:right="24"/>
        <w:jc w:val="both"/>
        <w:rPr>
          <w:rFonts w:ascii="Titillium Regular Upright" w:hAnsi="Titillium Regular Upright" w:cstheme="minorHAnsi"/>
          <w:b/>
          <w:position w:val="6"/>
          <w:sz w:val="18"/>
          <w:szCs w:val="18"/>
        </w:rPr>
      </w:pPr>
    </w:p>
    <w:p w14:paraId="20A256C4" w14:textId="3E5090D7" w:rsidR="00571AC2" w:rsidRPr="008F5717" w:rsidRDefault="00571AC2" w:rsidP="00F572FF">
      <w:pPr>
        <w:spacing w:line="240" w:lineRule="atLeast"/>
        <w:ind w:left="-48" w:right="24"/>
        <w:jc w:val="both"/>
        <w:rPr>
          <w:rFonts w:ascii="Titillium Regular Upright" w:hAnsi="Titillium Regular Upright" w:cstheme="minorHAnsi"/>
          <w:b/>
          <w:position w:val="6"/>
          <w:sz w:val="18"/>
          <w:szCs w:val="18"/>
        </w:rPr>
      </w:pPr>
      <w:r w:rsidRPr="008F5717">
        <w:rPr>
          <w:rFonts w:ascii="Titillium Regular Upright" w:hAnsi="Titillium Regular Upright" w:cstheme="minorHAnsi"/>
          <w:b/>
          <w:position w:val="6"/>
          <w:sz w:val="18"/>
          <w:szCs w:val="18"/>
        </w:rPr>
        <w:t>Legenda:</w:t>
      </w:r>
    </w:p>
    <w:p w14:paraId="0EE7606B" w14:textId="77777777" w:rsidR="00571AC2" w:rsidRPr="008F5717" w:rsidRDefault="00E87776" w:rsidP="00571AC2">
      <w:pPr>
        <w:spacing w:line="240" w:lineRule="atLeast"/>
        <w:ind w:left="-48" w:right="24"/>
        <w:jc w:val="both"/>
        <w:rPr>
          <w:rFonts w:ascii="Titillium Regular Upright" w:hAnsi="Titillium Regular Upright" w:cstheme="minorHAnsi"/>
          <w:position w:val="6"/>
          <w:sz w:val="18"/>
          <w:szCs w:val="18"/>
        </w:rPr>
      </w:pPr>
      <w:r w:rsidRPr="008F5717">
        <w:rPr>
          <w:rFonts w:ascii="Titillium Regular Upright" w:hAnsi="Titillium Regular Upright" w:cstheme="minorHAnsi"/>
          <w:b/>
          <w:position w:val="6"/>
          <w:sz w:val="18"/>
          <w:szCs w:val="18"/>
        </w:rPr>
        <w:t xml:space="preserve">Nota </w:t>
      </w:r>
      <w:r w:rsidR="00571AC2" w:rsidRPr="008F5717">
        <w:rPr>
          <w:rFonts w:ascii="Titillium Regular Upright" w:hAnsi="Titillium Regular Upright" w:cstheme="minorHAnsi"/>
          <w:b/>
          <w:position w:val="6"/>
          <w:sz w:val="18"/>
          <w:szCs w:val="18"/>
        </w:rPr>
        <w:t xml:space="preserve">A) </w:t>
      </w:r>
      <w:r w:rsidR="000E10D2" w:rsidRPr="008F5717">
        <w:rPr>
          <w:rFonts w:ascii="Titillium Regular Upright" w:hAnsi="Titillium Regular Upright" w:cstheme="minorHAnsi"/>
          <w:position w:val="6"/>
          <w:sz w:val="18"/>
          <w:szCs w:val="18"/>
        </w:rPr>
        <w:t>B</w:t>
      </w:r>
      <w:r w:rsidR="00714D2B" w:rsidRPr="008F5717">
        <w:rPr>
          <w:rFonts w:ascii="Titillium Regular Upright" w:hAnsi="Titillium Regular Upright" w:cstheme="minorHAnsi"/>
          <w:position w:val="6"/>
          <w:sz w:val="18"/>
          <w:szCs w:val="18"/>
        </w:rPr>
        <w:t>arrare una delle ipotesi considerate.</w:t>
      </w:r>
    </w:p>
    <w:p w14:paraId="5D6A99B9" w14:textId="77777777" w:rsidR="00571AC2" w:rsidRPr="008F5717" w:rsidRDefault="005E5A59" w:rsidP="005E5A59">
      <w:pPr>
        <w:pStyle w:val="Rientrocorpodeltesto"/>
        <w:spacing w:line="40" w:lineRule="atLeast"/>
        <w:ind w:left="0" w:hanging="142"/>
        <w:jc w:val="both"/>
        <w:rPr>
          <w:rFonts w:ascii="Titillium Regular Upright" w:hAnsi="Titillium Regular Upright" w:cstheme="minorHAnsi"/>
          <w:sz w:val="18"/>
          <w:szCs w:val="18"/>
        </w:rPr>
      </w:pPr>
      <w:r w:rsidRPr="008F5717">
        <w:rPr>
          <w:rFonts w:ascii="Titillium Regular Upright" w:hAnsi="Titillium Regular Upright" w:cstheme="minorHAnsi"/>
          <w:b/>
          <w:position w:val="6"/>
          <w:sz w:val="18"/>
          <w:szCs w:val="18"/>
        </w:rPr>
        <w:t xml:space="preserve">  </w:t>
      </w:r>
      <w:r w:rsidR="00571AC2" w:rsidRPr="008F5717">
        <w:rPr>
          <w:rFonts w:ascii="Titillium Regular Upright" w:hAnsi="Titillium Regular Upright" w:cstheme="minorHAnsi"/>
          <w:b/>
          <w:position w:val="6"/>
          <w:sz w:val="18"/>
          <w:szCs w:val="18"/>
        </w:rPr>
        <w:t xml:space="preserve">Nota </w:t>
      </w:r>
      <w:r w:rsidR="00571AC2" w:rsidRPr="008F5717">
        <w:rPr>
          <w:rFonts w:ascii="Titillium Regular Upright" w:hAnsi="Titillium Regular Upright" w:cstheme="minorHAnsi"/>
          <w:b/>
          <w:sz w:val="18"/>
          <w:szCs w:val="18"/>
        </w:rPr>
        <w:t xml:space="preserve">(1) Le dichiarazioni di cui al presente modello devono essere prodotte dai seguenti soggetti: </w:t>
      </w:r>
    </w:p>
    <w:p w14:paraId="5D983887" w14:textId="77777777" w:rsidR="005E0E76" w:rsidRPr="008F5717" w:rsidRDefault="005E0E76" w:rsidP="005E0E76">
      <w:pPr>
        <w:numPr>
          <w:ilvl w:val="0"/>
          <w:numId w:val="7"/>
        </w:numPr>
        <w:tabs>
          <w:tab w:val="num" w:pos="284"/>
        </w:tabs>
        <w:suppressAutoHyphens/>
        <w:spacing w:line="40" w:lineRule="atLeast"/>
        <w:ind w:hanging="578"/>
        <w:jc w:val="both"/>
        <w:rPr>
          <w:rFonts w:ascii="Titillium Regular Upright" w:hAnsi="Titillium Regular Upright" w:cstheme="minorHAnsi"/>
          <w:sz w:val="18"/>
          <w:szCs w:val="18"/>
          <w:lang w:eastAsia="ar-SA"/>
        </w:rPr>
      </w:pPr>
      <w:r w:rsidRPr="008F5717">
        <w:rPr>
          <w:rFonts w:ascii="Titillium Regular Upright" w:hAnsi="Titillium Regular Upright" w:cstheme="minorHAnsi"/>
          <w:sz w:val="18"/>
          <w:szCs w:val="18"/>
          <w:lang w:eastAsia="ar-SA"/>
        </w:rPr>
        <w:t>Il titolare e il direttore tecnico, se si tratta di imprese individuali;</w:t>
      </w:r>
    </w:p>
    <w:p w14:paraId="33BD8995" w14:textId="77777777" w:rsidR="005E0E76" w:rsidRPr="008F5717" w:rsidRDefault="005E0E76" w:rsidP="005E0E76">
      <w:pPr>
        <w:numPr>
          <w:ilvl w:val="0"/>
          <w:numId w:val="7"/>
        </w:numPr>
        <w:tabs>
          <w:tab w:val="num" w:pos="284"/>
        </w:tabs>
        <w:suppressAutoHyphens/>
        <w:spacing w:line="40" w:lineRule="atLeast"/>
        <w:ind w:hanging="578"/>
        <w:jc w:val="both"/>
        <w:rPr>
          <w:rFonts w:ascii="Titillium Regular Upright" w:hAnsi="Titillium Regular Upright" w:cstheme="minorHAnsi"/>
          <w:sz w:val="18"/>
          <w:szCs w:val="18"/>
          <w:lang w:eastAsia="ar-SA"/>
        </w:rPr>
      </w:pPr>
      <w:r w:rsidRPr="008F5717">
        <w:rPr>
          <w:rFonts w:ascii="Titillium Regular Upright" w:hAnsi="Titillium Regular Upright" w:cstheme="minorHAnsi"/>
          <w:sz w:val="18"/>
          <w:szCs w:val="18"/>
          <w:lang w:eastAsia="ar-SA"/>
        </w:rPr>
        <w:t>i soci e il direttore tecnico, se si tratta di società in nome collettivo;</w:t>
      </w:r>
    </w:p>
    <w:p w14:paraId="0953DA3F" w14:textId="77777777" w:rsidR="005E0E76" w:rsidRPr="008F5717" w:rsidRDefault="005E0E76" w:rsidP="005E0E76">
      <w:pPr>
        <w:numPr>
          <w:ilvl w:val="0"/>
          <w:numId w:val="7"/>
        </w:numPr>
        <w:tabs>
          <w:tab w:val="num" w:pos="284"/>
        </w:tabs>
        <w:suppressAutoHyphens/>
        <w:spacing w:line="40" w:lineRule="atLeast"/>
        <w:ind w:hanging="578"/>
        <w:jc w:val="both"/>
        <w:rPr>
          <w:rFonts w:ascii="Titillium Regular Upright" w:hAnsi="Titillium Regular Upright" w:cstheme="minorHAnsi"/>
          <w:sz w:val="18"/>
          <w:szCs w:val="18"/>
          <w:lang w:eastAsia="ar-SA"/>
        </w:rPr>
      </w:pPr>
      <w:r w:rsidRPr="008F5717">
        <w:rPr>
          <w:rFonts w:ascii="Titillium Regular Upright" w:hAnsi="Titillium Regular Upright" w:cstheme="minorHAnsi"/>
          <w:sz w:val="18"/>
          <w:szCs w:val="18"/>
          <w:lang w:eastAsia="ar-SA"/>
        </w:rPr>
        <w:t xml:space="preserve">i soci accomandatari e il direttore tecnico, se si tratta di società in accomandita semplice; </w:t>
      </w:r>
    </w:p>
    <w:p w14:paraId="70E85071" w14:textId="77777777" w:rsidR="005E0E76" w:rsidRPr="008F5717" w:rsidRDefault="005E0E76" w:rsidP="005E0E76">
      <w:pPr>
        <w:numPr>
          <w:ilvl w:val="0"/>
          <w:numId w:val="7"/>
        </w:numPr>
        <w:tabs>
          <w:tab w:val="num" w:pos="284"/>
        </w:tabs>
        <w:suppressAutoHyphens/>
        <w:spacing w:line="40" w:lineRule="atLeast"/>
        <w:ind w:left="284" w:hanging="142"/>
        <w:jc w:val="both"/>
        <w:rPr>
          <w:rFonts w:ascii="Titillium Regular Upright" w:hAnsi="Titillium Regular Upright" w:cstheme="minorHAnsi"/>
          <w:sz w:val="18"/>
          <w:szCs w:val="18"/>
          <w:lang w:eastAsia="ar-SA"/>
        </w:rPr>
      </w:pPr>
      <w:r w:rsidRPr="008F5717">
        <w:rPr>
          <w:rFonts w:ascii="Titillium Regular Upright" w:hAnsi="Titillium Regular Upright" w:cstheme="minorHAnsi"/>
          <w:iCs/>
          <w:sz w:val="18"/>
          <w:szCs w:val="18"/>
          <w:lang w:eastAsia="ar-SA"/>
        </w:rPr>
        <w:t xml:space="preserve">i membri del consiglio di amministrazione cui </w:t>
      </w:r>
      <w:r w:rsidRPr="008F5717">
        <w:rPr>
          <w:rFonts w:ascii="Cambria" w:hAnsi="Cambria" w:cs="Cambria"/>
          <w:iCs/>
          <w:sz w:val="18"/>
          <w:szCs w:val="18"/>
          <w:lang w:eastAsia="ar-SA"/>
        </w:rPr>
        <w:t> </w:t>
      </w:r>
      <w:r w:rsidRPr="008F5717">
        <w:rPr>
          <w:rFonts w:ascii="Titillium Regular Upright" w:hAnsi="Titillium Regular Upright" w:cstheme="minorHAnsi"/>
          <w:iCs/>
          <w:sz w:val="18"/>
          <w:szCs w:val="18"/>
          <w:lang w:eastAsia="ar-SA"/>
        </w:rPr>
        <w:t>sia stata conferita la legale rappresentanza,</w:t>
      </w:r>
      <w:r w:rsidR="002C2A25" w:rsidRPr="008F5717">
        <w:rPr>
          <w:rFonts w:ascii="Titillium Regular Upright" w:hAnsi="Titillium Regular Upright" w:cstheme="minorHAnsi"/>
          <w:iCs/>
          <w:sz w:val="18"/>
          <w:szCs w:val="18"/>
          <w:lang w:eastAsia="ar-SA"/>
        </w:rPr>
        <w:t xml:space="preserve"> ivi compresi institori e procuratori generali, dei membri degli organi con poteri</w:t>
      </w:r>
      <w:r w:rsidRPr="008F5717">
        <w:rPr>
          <w:rFonts w:ascii="Titillium Regular Upright" w:hAnsi="Titillium Regular Upright" w:cstheme="minorHAnsi"/>
          <w:iCs/>
          <w:sz w:val="18"/>
          <w:szCs w:val="18"/>
          <w:lang w:eastAsia="ar-SA"/>
        </w:rPr>
        <w:t xml:space="preserve"> di direzione o di vigilanza in ordine ai quali con  Comunicato del 26/10/2016 il Presidente dell’Anac ha precisato che “</w:t>
      </w:r>
      <w:r w:rsidRPr="008F5717">
        <w:rPr>
          <w:rFonts w:ascii="Titillium Regular Upright" w:hAnsi="Titillium Regular Upright" w:cstheme="minorHAnsi"/>
          <w:i/>
          <w:sz w:val="18"/>
          <w:szCs w:val="18"/>
          <w:lang w:eastAsia="ar-SA"/>
        </w:rPr>
        <w:t xml:space="preserve">Al fine di consentire  l’applicazione della norma in esame, le indicazioni ivi contenute devono essere  interpretate </w:t>
      </w:r>
      <w:r w:rsidRPr="008F5717">
        <w:rPr>
          <w:rFonts w:ascii="Titillium Regular Upright" w:hAnsi="Titillium Regular Upright" w:cstheme="minorHAnsi"/>
          <w:i/>
          <w:sz w:val="18"/>
          <w:szCs w:val="18"/>
          <w:lang w:eastAsia="ar-SA"/>
        </w:rPr>
        <w:lastRenderedPageBreak/>
        <w:t>avendo a riferimento i sistemi di amministrazione e controllo  delle società di capitali disciplinati dal codice civile a seguito della  riforma introdotta dal D.lgs. n. 6/2003 e precisamente:</w:t>
      </w:r>
    </w:p>
    <w:p w14:paraId="1B62E9AD" w14:textId="5CCC0DAD" w:rsidR="005E0E76" w:rsidRPr="008F5717" w:rsidRDefault="005E0E76" w:rsidP="005E0E76">
      <w:pPr>
        <w:spacing w:line="40" w:lineRule="atLeast"/>
        <w:ind w:left="360"/>
        <w:jc w:val="both"/>
        <w:rPr>
          <w:rFonts w:ascii="Titillium Regular Upright" w:hAnsi="Titillium Regular Upright" w:cstheme="minorHAnsi"/>
          <w:i/>
          <w:iCs/>
          <w:sz w:val="18"/>
          <w:szCs w:val="18"/>
          <w:lang w:eastAsia="ar-SA"/>
        </w:rPr>
      </w:pPr>
      <w:r w:rsidRPr="008F5717">
        <w:rPr>
          <w:rFonts w:ascii="Titillium Regular Upright" w:hAnsi="Titillium Regular Upright" w:cstheme="minorHAnsi"/>
          <w:i/>
          <w:iCs/>
          <w:sz w:val="18"/>
          <w:szCs w:val="18"/>
          <w:lang w:eastAsia="ar-SA"/>
        </w:rPr>
        <w:t>1) sistema cd. “tradizionale” (disciplinato agli artt. 2380-bis e ss. c.c.), articolato su un “consiglio di amministrazione” e su un “collegio sindacale”;</w:t>
      </w:r>
    </w:p>
    <w:p w14:paraId="3CAB579B" w14:textId="1B3594E5" w:rsidR="005E0E76" w:rsidRPr="008F5717" w:rsidRDefault="005E0E76" w:rsidP="005E0E76">
      <w:pPr>
        <w:spacing w:line="40" w:lineRule="atLeast"/>
        <w:ind w:left="360"/>
        <w:jc w:val="both"/>
        <w:rPr>
          <w:rFonts w:ascii="Titillium Regular Upright" w:hAnsi="Titillium Regular Upright" w:cstheme="minorHAnsi"/>
          <w:i/>
          <w:iCs/>
          <w:sz w:val="18"/>
          <w:szCs w:val="18"/>
          <w:lang w:eastAsia="ar-SA"/>
        </w:rPr>
      </w:pPr>
      <w:r w:rsidRPr="008F5717">
        <w:rPr>
          <w:rFonts w:ascii="Titillium Regular Upright" w:hAnsi="Titillium Regular Upright" w:cstheme="minorHAnsi"/>
          <w:i/>
          <w:iCs/>
          <w:sz w:val="18"/>
          <w:szCs w:val="18"/>
          <w:lang w:eastAsia="ar-SA"/>
        </w:rPr>
        <w:t>2) sistema cd. “dualistico”</w:t>
      </w:r>
      <w:r w:rsidR="003D65CB" w:rsidRPr="008F5717">
        <w:rPr>
          <w:rFonts w:ascii="Titillium Regular Upright" w:hAnsi="Titillium Regular Upright" w:cstheme="minorHAnsi"/>
          <w:i/>
          <w:iCs/>
          <w:sz w:val="18"/>
          <w:szCs w:val="18"/>
          <w:lang w:eastAsia="ar-SA"/>
        </w:rPr>
        <w:t xml:space="preserve"> </w:t>
      </w:r>
      <w:r w:rsidRPr="008F5717">
        <w:rPr>
          <w:rFonts w:ascii="Titillium Regular Upright" w:hAnsi="Titillium Regular Upright" w:cstheme="minorHAnsi"/>
          <w:i/>
          <w:iCs/>
          <w:sz w:val="18"/>
          <w:szCs w:val="18"/>
          <w:lang w:eastAsia="ar-SA"/>
        </w:rPr>
        <w:t xml:space="preserve">(disciplinato agli artt. </w:t>
      </w:r>
      <w:r w:rsidRPr="008F5717">
        <w:rPr>
          <w:rFonts w:ascii="Titillium Regular Upright" w:hAnsi="Titillium Regular Upright" w:cstheme="minorHAnsi"/>
          <w:i/>
          <w:iCs/>
          <w:sz w:val="18"/>
          <w:szCs w:val="18"/>
          <w:lang w:val="en-US" w:eastAsia="ar-SA"/>
        </w:rPr>
        <w:t xml:space="preserve">2409-octies e ss. c.c.)  </w:t>
      </w:r>
      <w:r w:rsidRPr="008F5717">
        <w:rPr>
          <w:rFonts w:ascii="Titillium Regular Upright" w:hAnsi="Titillium Regular Upright" w:cstheme="minorHAnsi"/>
          <w:i/>
          <w:iCs/>
          <w:sz w:val="18"/>
          <w:szCs w:val="18"/>
          <w:lang w:eastAsia="ar-SA"/>
        </w:rPr>
        <w:t xml:space="preserve">articolato sul “consiglio di gestione” e sul “consiglio di sorveglianza”; </w:t>
      </w:r>
    </w:p>
    <w:p w14:paraId="144CB346" w14:textId="315F92F3" w:rsidR="005E0E76" w:rsidRPr="008F5717" w:rsidRDefault="005E0E76" w:rsidP="005E0E76">
      <w:pPr>
        <w:spacing w:line="40" w:lineRule="atLeast"/>
        <w:ind w:left="360"/>
        <w:jc w:val="both"/>
        <w:rPr>
          <w:rFonts w:ascii="Titillium Regular Upright" w:hAnsi="Titillium Regular Upright" w:cstheme="minorHAnsi"/>
          <w:i/>
          <w:iCs/>
          <w:sz w:val="18"/>
          <w:szCs w:val="18"/>
          <w:lang w:eastAsia="ar-SA"/>
        </w:rPr>
      </w:pPr>
      <w:r w:rsidRPr="008F5717">
        <w:rPr>
          <w:rFonts w:ascii="Titillium Regular Upright" w:hAnsi="Titillium Regular Upright" w:cstheme="minorHAnsi"/>
          <w:i/>
          <w:iCs/>
          <w:sz w:val="18"/>
          <w:szCs w:val="18"/>
          <w:lang w:eastAsia="ar-SA"/>
        </w:rPr>
        <w:t>3) sistema cd. “monistico” fondato sulla presenza di un “consiglio di amministrazione” e di un “comitato per il controllo sulla gestione” costituito al suo interno (art. 2409-sexiesdecies, co. 1, c.c.).</w:t>
      </w:r>
    </w:p>
    <w:p w14:paraId="5D862F5D" w14:textId="257607C2" w:rsidR="005E0E76" w:rsidRPr="008F5717" w:rsidRDefault="005E0E76" w:rsidP="005E0E76">
      <w:pPr>
        <w:spacing w:line="40" w:lineRule="atLeast"/>
        <w:ind w:left="360"/>
        <w:jc w:val="both"/>
        <w:rPr>
          <w:rFonts w:ascii="Titillium Regular Upright" w:hAnsi="Titillium Regular Upright" w:cstheme="minorHAnsi"/>
          <w:iCs/>
          <w:sz w:val="18"/>
          <w:szCs w:val="18"/>
          <w:lang w:eastAsia="ar-SA"/>
        </w:rPr>
      </w:pPr>
      <w:r w:rsidRPr="008F5717">
        <w:rPr>
          <w:rFonts w:ascii="Titillium Regular Upright" w:hAnsi="Titillium Regular Upright" w:cstheme="minorHAnsi"/>
          <w:i/>
          <w:iCs/>
          <w:sz w:val="18"/>
          <w:szCs w:val="18"/>
          <w:lang w:eastAsia="ar-SA"/>
        </w:rPr>
        <w:t xml:space="preserve">Pertanto,  la sussistenza del requisito di cui all’art. </w:t>
      </w:r>
      <w:r w:rsidR="007A07FD" w:rsidRPr="008F5717">
        <w:rPr>
          <w:rFonts w:ascii="Titillium Regular Upright" w:hAnsi="Titillium Regular Upright" w:cstheme="minorHAnsi"/>
          <w:i/>
          <w:iCs/>
          <w:sz w:val="18"/>
          <w:szCs w:val="18"/>
          <w:lang w:eastAsia="ar-SA"/>
        </w:rPr>
        <w:t>94</w:t>
      </w:r>
      <w:r w:rsidRPr="008F5717">
        <w:rPr>
          <w:rFonts w:ascii="Titillium Regular Upright" w:hAnsi="Titillium Regular Upright" w:cstheme="minorHAnsi"/>
          <w:i/>
          <w:iCs/>
          <w:sz w:val="18"/>
          <w:szCs w:val="18"/>
          <w:lang w:eastAsia="ar-SA"/>
        </w:rPr>
        <w:t>, comma 1, del Codice deve  essere verificata in capo: 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ai  membri del collegio sindacale nelle società con sistema di amministrazione  tradizionale e ai membri del comitato per il controllo sulla gestione nelle  società con sistema di amministrazione monistico; ai  membri del consiglio di gestione e ai membri del consiglio di sorveglianza,  nelle società con sistema di amministrazione dualistico”</w:t>
      </w:r>
      <w:r w:rsidRPr="008F5717">
        <w:rPr>
          <w:rFonts w:ascii="Titillium Regular Upright" w:hAnsi="Titillium Regular Upright" w:cstheme="minorHAnsi"/>
          <w:iCs/>
          <w:sz w:val="18"/>
          <w:szCs w:val="18"/>
          <w:lang w:eastAsia="ar-SA"/>
        </w:rPr>
        <w:t>;</w:t>
      </w:r>
    </w:p>
    <w:p w14:paraId="58B892AD" w14:textId="0BA0B50F" w:rsidR="00A15867" w:rsidRPr="008F5717" w:rsidRDefault="005E0E76" w:rsidP="00A15867">
      <w:pPr>
        <w:numPr>
          <w:ilvl w:val="0"/>
          <w:numId w:val="8"/>
        </w:numPr>
        <w:suppressAutoHyphens/>
        <w:spacing w:line="40" w:lineRule="atLeast"/>
        <w:ind w:left="284" w:hanging="284"/>
        <w:jc w:val="both"/>
        <w:rPr>
          <w:rFonts w:ascii="Titillium Regular Upright" w:hAnsi="Titillium Regular Upright" w:cstheme="minorHAnsi"/>
          <w:iCs/>
          <w:sz w:val="18"/>
          <w:szCs w:val="18"/>
          <w:lang w:eastAsia="ar-SA"/>
        </w:rPr>
      </w:pPr>
      <w:r w:rsidRPr="008F5717">
        <w:rPr>
          <w:rFonts w:ascii="Titillium Regular Upright" w:hAnsi="Titillium Regular Upright" w:cstheme="minorHAnsi"/>
          <w:iCs/>
          <w:sz w:val="18"/>
          <w:szCs w:val="18"/>
          <w:lang w:eastAsia="ar-SA"/>
        </w:rPr>
        <w:t xml:space="preserve">soggetti muniti di poteri di </w:t>
      </w:r>
      <w:r w:rsidRPr="008F5717">
        <w:rPr>
          <w:rFonts w:ascii="Cambria" w:hAnsi="Cambria" w:cs="Cambria"/>
          <w:iCs/>
          <w:sz w:val="18"/>
          <w:szCs w:val="18"/>
          <w:lang w:eastAsia="ar-SA"/>
        </w:rPr>
        <w:t> </w:t>
      </w:r>
      <w:r w:rsidRPr="008F5717">
        <w:rPr>
          <w:rFonts w:ascii="Titillium Regular Upright" w:hAnsi="Titillium Regular Upright" w:cstheme="minorHAnsi"/>
          <w:iCs/>
          <w:sz w:val="18"/>
          <w:szCs w:val="18"/>
          <w:lang w:eastAsia="ar-SA"/>
        </w:rPr>
        <w:t>rappresentanza, di direzione o di controllo</w:t>
      </w:r>
      <w:r w:rsidRPr="008F5717">
        <w:rPr>
          <w:rFonts w:ascii="Titillium Regular Upright" w:hAnsi="Titillium Regular Upright" w:cstheme="minorHAnsi"/>
          <w:i/>
          <w:sz w:val="20"/>
          <w:szCs w:val="20"/>
          <w:lang w:eastAsia="ar-SA"/>
        </w:rPr>
        <w:t xml:space="preserve"> </w:t>
      </w:r>
      <w:r w:rsidRPr="008F5717">
        <w:rPr>
          <w:rFonts w:ascii="Titillium Regular Upright" w:hAnsi="Titillium Regular Upright" w:cstheme="minorHAnsi"/>
          <w:iCs/>
          <w:sz w:val="18"/>
          <w:szCs w:val="18"/>
          <w:lang w:eastAsia="ar-SA"/>
        </w:rPr>
        <w:t>in ordine ai quali, con  Comunicato del 26/10/2016, il Presidente dell’Anac ha precisato che devono intendersi “</w:t>
      </w:r>
      <w:r w:rsidRPr="008F5717">
        <w:rPr>
          <w:rFonts w:ascii="Titillium Regular Upright" w:hAnsi="Titillium Regular Upright" w:cstheme="minorHAnsi"/>
          <w:i/>
          <w:sz w:val="18"/>
          <w:szCs w:val="18"/>
          <w:lang w:eastAsia="ar-SA"/>
        </w:rPr>
        <w:t xml:space="preserve">per tali i soggetti che, benché non siano membri  degli organi sociali di amministrazione e controllo, risultino muniti di poteri  di rappresentanza (come gli institori e i procuratori ad </w:t>
      </w:r>
      <w:proofErr w:type="spellStart"/>
      <w:r w:rsidRPr="008F5717">
        <w:rPr>
          <w:rFonts w:ascii="Titillium Regular Upright" w:hAnsi="Titillium Regular Upright" w:cstheme="minorHAnsi"/>
          <w:i/>
          <w:sz w:val="18"/>
          <w:szCs w:val="18"/>
          <w:lang w:eastAsia="ar-SA"/>
        </w:rPr>
        <w:t>negotia</w:t>
      </w:r>
      <w:proofErr w:type="spellEnd"/>
      <w:r w:rsidRPr="008F5717">
        <w:rPr>
          <w:rFonts w:ascii="Titillium Regular Upright" w:hAnsi="Titillium Regular Upright" w:cstheme="minorHAnsi"/>
          <w:i/>
          <w:sz w:val="18"/>
          <w:szCs w:val="18"/>
          <w:lang w:eastAsia="ar-SA"/>
        </w:rPr>
        <w:t>), di direzione (come i</w:t>
      </w:r>
      <w:r w:rsidR="009B3461" w:rsidRPr="008F5717">
        <w:rPr>
          <w:rFonts w:ascii="Titillium Regular Upright" w:hAnsi="Titillium Regular Upright" w:cstheme="minorHAnsi"/>
          <w:i/>
          <w:sz w:val="18"/>
          <w:szCs w:val="18"/>
          <w:lang w:eastAsia="ar-SA"/>
        </w:rPr>
        <w:t>n</w:t>
      </w:r>
      <w:r w:rsidRPr="008F5717">
        <w:rPr>
          <w:rFonts w:ascii="Titillium Regular Upright" w:hAnsi="Titillium Regular Upright" w:cstheme="minorHAnsi"/>
          <w:i/>
          <w:sz w:val="18"/>
          <w:szCs w:val="18"/>
          <w:lang w:eastAsia="ar-SA"/>
        </w:rPr>
        <w:t>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8F5717">
        <w:rPr>
          <w:rFonts w:ascii="Titillium Regular Upright" w:hAnsi="Titillium Regular Upright" w:cstheme="minorHAnsi"/>
          <w:sz w:val="20"/>
          <w:szCs w:val="20"/>
          <w:lang w:eastAsia="ar-SA"/>
        </w:rPr>
        <w:t xml:space="preserve"> </w:t>
      </w:r>
      <w:r w:rsidRPr="008F5717">
        <w:rPr>
          <w:rFonts w:ascii="Titillium Regular Upright" w:hAnsi="Titillium Regular Upright" w:cstheme="minorHAnsi"/>
          <w:i/>
          <w:sz w:val="18"/>
          <w:szCs w:val="18"/>
          <w:lang w:eastAsia="ar-SA"/>
        </w:rPr>
        <w:t>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14:paraId="7E39927E" w14:textId="5A4308E1" w:rsidR="005E0E76" w:rsidRPr="008F5717" w:rsidRDefault="005E0E76" w:rsidP="00A15867">
      <w:pPr>
        <w:numPr>
          <w:ilvl w:val="0"/>
          <w:numId w:val="8"/>
        </w:numPr>
        <w:suppressAutoHyphens/>
        <w:spacing w:line="40" w:lineRule="atLeast"/>
        <w:ind w:left="284" w:hanging="284"/>
        <w:jc w:val="both"/>
        <w:rPr>
          <w:rFonts w:ascii="Titillium Regular Upright" w:hAnsi="Titillium Regular Upright" w:cstheme="minorHAnsi"/>
          <w:iCs/>
          <w:sz w:val="18"/>
          <w:szCs w:val="18"/>
          <w:lang w:eastAsia="ar-SA"/>
        </w:rPr>
      </w:pPr>
      <w:r w:rsidRPr="008F5717">
        <w:rPr>
          <w:rFonts w:ascii="Titillium Regular Upright" w:hAnsi="Titillium Regular Upright" w:cstheme="minorHAnsi"/>
          <w:sz w:val="18"/>
          <w:szCs w:val="18"/>
          <w:lang w:eastAsia="ar-SA"/>
        </w:rPr>
        <w:t>il direttore tecnico o il socio unico persona fisica, ovvero il socio di maggioranza in caso di società con meno di quattro soci se si tratta di altro tipo di società o consorzio;</w:t>
      </w:r>
    </w:p>
    <w:p w14:paraId="01B5DC18" w14:textId="77777777" w:rsidR="0099203B" w:rsidRPr="008F5717" w:rsidRDefault="0099203B" w:rsidP="005E5A59">
      <w:pPr>
        <w:pStyle w:val="Rientrocorpodeltesto"/>
        <w:numPr>
          <w:ilvl w:val="0"/>
          <w:numId w:val="6"/>
        </w:numPr>
        <w:tabs>
          <w:tab w:val="clear" w:pos="720"/>
          <w:tab w:val="num" w:pos="284"/>
        </w:tabs>
        <w:spacing w:after="0" w:line="40" w:lineRule="atLeast"/>
        <w:ind w:hanging="720"/>
        <w:jc w:val="both"/>
        <w:rPr>
          <w:rFonts w:ascii="Titillium Regular Upright" w:hAnsi="Titillium Regular Upright" w:cstheme="minorHAnsi"/>
          <w:sz w:val="18"/>
          <w:szCs w:val="18"/>
        </w:rPr>
      </w:pPr>
      <w:r w:rsidRPr="008F5717">
        <w:rPr>
          <w:rFonts w:ascii="Titillium Regular Upright" w:hAnsi="Titillium Regular Upright" w:cstheme="minorHAnsi"/>
          <w:sz w:val="18"/>
          <w:szCs w:val="18"/>
        </w:rPr>
        <w:t xml:space="preserve">soggetti cessati dalle cariche suindicate nell’anno antecedente la data di </w:t>
      </w:r>
      <w:r w:rsidR="005303E0" w:rsidRPr="008F5717">
        <w:rPr>
          <w:rFonts w:ascii="Titillium Regular Upright" w:hAnsi="Titillium Regular Upright" w:cstheme="minorHAnsi"/>
          <w:sz w:val="18"/>
          <w:szCs w:val="18"/>
        </w:rPr>
        <w:t>pubblicazione del bando di gara.</w:t>
      </w:r>
    </w:p>
    <w:p w14:paraId="38C942FC" w14:textId="77777777" w:rsidR="00571AC2" w:rsidRPr="008F5717" w:rsidRDefault="00571AC2" w:rsidP="0099203B">
      <w:pPr>
        <w:pStyle w:val="Rientrocorpodeltesto"/>
        <w:spacing w:after="0" w:line="40" w:lineRule="atLeast"/>
        <w:ind w:left="0"/>
        <w:jc w:val="both"/>
        <w:rPr>
          <w:rFonts w:ascii="Titillium Regular Upright" w:hAnsi="Titillium Regular Upright" w:cstheme="minorHAnsi"/>
          <w:sz w:val="18"/>
          <w:szCs w:val="18"/>
        </w:rPr>
      </w:pPr>
    </w:p>
    <w:p w14:paraId="1C1B9538" w14:textId="77777777" w:rsidR="00226851" w:rsidRPr="008F5717" w:rsidRDefault="00571AC2" w:rsidP="003B6C89">
      <w:pPr>
        <w:tabs>
          <w:tab w:val="center" w:pos="6840"/>
        </w:tabs>
        <w:autoSpaceDE w:val="0"/>
        <w:autoSpaceDN w:val="0"/>
        <w:adjustRightInd w:val="0"/>
        <w:jc w:val="both"/>
        <w:rPr>
          <w:rFonts w:ascii="Titillium Regular Upright" w:hAnsi="Titillium Regular Upright" w:cstheme="minorHAnsi"/>
          <w:b/>
          <w:sz w:val="18"/>
          <w:szCs w:val="18"/>
        </w:rPr>
      </w:pPr>
      <w:r w:rsidRPr="008F5717">
        <w:rPr>
          <w:rFonts w:ascii="Titillium Regular Upright" w:hAnsi="Titillium Regular Upright" w:cstheme="minorHAnsi"/>
          <w:b/>
          <w:position w:val="6"/>
          <w:sz w:val="18"/>
          <w:szCs w:val="18"/>
        </w:rPr>
        <w:t>Nota</w:t>
      </w:r>
      <w:r w:rsidRPr="008F5717">
        <w:rPr>
          <w:rFonts w:ascii="Titillium Regular Upright" w:hAnsi="Titillium Regular Upright" w:cstheme="minorHAnsi"/>
          <w:b/>
          <w:sz w:val="18"/>
          <w:szCs w:val="18"/>
        </w:rPr>
        <w:t xml:space="preserve"> </w:t>
      </w:r>
      <w:r w:rsidR="00226851" w:rsidRPr="008F5717">
        <w:rPr>
          <w:rFonts w:ascii="Titillium Regular Upright" w:hAnsi="Titillium Regular Upright" w:cstheme="minorHAnsi"/>
          <w:b/>
          <w:sz w:val="18"/>
          <w:szCs w:val="18"/>
        </w:rPr>
        <w:t>(2)</w:t>
      </w:r>
    </w:p>
    <w:p w14:paraId="69383D63" w14:textId="77777777" w:rsidR="003B6C89" w:rsidRPr="008F5717" w:rsidRDefault="003B6C89" w:rsidP="003B6C89">
      <w:pPr>
        <w:tabs>
          <w:tab w:val="center" w:pos="6840"/>
        </w:tabs>
        <w:autoSpaceDE w:val="0"/>
        <w:autoSpaceDN w:val="0"/>
        <w:adjustRightInd w:val="0"/>
        <w:jc w:val="both"/>
        <w:rPr>
          <w:rFonts w:ascii="Titillium Regular Upright" w:hAnsi="Titillium Regular Upright" w:cstheme="minorHAnsi"/>
          <w:color w:val="000000"/>
          <w:sz w:val="18"/>
          <w:szCs w:val="18"/>
        </w:rPr>
      </w:pPr>
      <w:r w:rsidRPr="008F5717">
        <w:rPr>
          <w:rFonts w:ascii="Titillium Regular Upright" w:hAnsi="Titillium Regular Upright" w:cstheme="minorHAnsi"/>
          <w:sz w:val="18"/>
          <w:szCs w:val="18"/>
        </w:rPr>
        <w:t xml:space="preserve">Tali dichiarazioni devono essere sottoscritte con l’osservanza delle modalità di cui all’articolo 38, comma 3, del D.P.R. 445/2000, inserendo </w:t>
      </w:r>
      <w:r w:rsidR="00C92389" w:rsidRPr="008F5717">
        <w:rPr>
          <w:rFonts w:ascii="Titillium Regular Upright" w:hAnsi="Titillium Regular Upright" w:cstheme="minorHAnsi"/>
          <w:sz w:val="18"/>
          <w:szCs w:val="18"/>
        </w:rPr>
        <w:t>a sistema</w:t>
      </w:r>
      <w:r w:rsidRPr="008F5717">
        <w:rPr>
          <w:rFonts w:ascii="Titillium Regular Upright" w:hAnsi="Titillium Regular Upright" w:cstheme="minorHAnsi"/>
          <w:sz w:val="18"/>
          <w:szCs w:val="18"/>
        </w:rPr>
        <w:t xml:space="preserve"> una fotocopia del documento di identità del sottoscrittore. Si precisa che </w:t>
      </w:r>
      <w:r w:rsidRPr="008F5717">
        <w:rPr>
          <w:rFonts w:ascii="Titillium Regular Upright" w:hAnsi="Titillium Regular Upright" w:cstheme="minorHAnsi"/>
          <w:sz w:val="18"/>
          <w:szCs w:val="18"/>
          <w:u w:val="single"/>
        </w:rPr>
        <w:t xml:space="preserve">la mancanza della firma e/o della fotocopia del documento del sottoscrittore </w:t>
      </w:r>
      <w:r w:rsidRPr="008F5717">
        <w:rPr>
          <w:rFonts w:ascii="Titillium Regular Upright" w:hAnsi="Titillium Regular Upright" w:cstheme="minorHAnsi"/>
          <w:sz w:val="18"/>
          <w:szCs w:val="18"/>
        </w:rPr>
        <w:t>non è causa di esclusi</w:t>
      </w:r>
      <w:r w:rsidR="00793494" w:rsidRPr="008F5717">
        <w:rPr>
          <w:rFonts w:ascii="Titillium Regular Upright" w:hAnsi="Titillium Regular Upright" w:cstheme="minorHAnsi"/>
          <w:sz w:val="18"/>
          <w:szCs w:val="18"/>
        </w:rPr>
        <w:t>one automatica e il concorrente</w:t>
      </w:r>
      <w:r w:rsidRPr="008F5717">
        <w:rPr>
          <w:rFonts w:ascii="Titillium Regular Upright" w:hAnsi="Titillium Regular Upright" w:cstheme="minorHAnsi"/>
          <w:sz w:val="18"/>
          <w:szCs w:val="18"/>
        </w:rPr>
        <w:t xml:space="preserve"> sarà invitato a sanare tale irregolarità </w:t>
      </w:r>
      <w:r w:rsidR="0099203B" w:rsidRPr="008F5717">
        <w:rPr>
          <w:rFonts w:ascii="Titillium Regular Upright" w:hAnsi="Titillium Regular Upright" w:cstheme="minorHAnsi"/>
          <w:sz w:val="18"/>
          <w:szCs w:val="18"/>
        </w:rPr>
        <w:t xml:space="preserve">entro il termine indicato dall’Amministrazione nella relativa richiesta. Ove tale irregolarità non venga sanata entro il termine ivi indicato, il concorrente sarà escluso dal prosieguo della gara. </w:t>
      </w:r>
    </w:p>
    <w:p w14:paraId="2D97FA13" w14:textId="77777777" w:rsidR="007E08B9" w:rsidRPr="008F5717" w:rsidRDefault="007E08B9" w:rsidP="000E10D2">
      <w:pPr>
        <w:autoSpaceDE w:val="0"/>
        <w:autoSpaceDN w:val="0"/>
        <w:adjustRightInd w:val="0"/>
        <w:rPr>
          <w:rFonts w:ascii="Titillium Regular Upright" w:hAnsi="Titillium Regular Upright" w:cstheme="minorHAnsi"/>
        </w:rPr>
      </w:pPr>
    </w:p>
    <w:sectPr w:rsidR="007E08B9" w:rsidRPr="008F5717" w:rsidSect="007A44E1">
      <w:footerReference w:type="even" r:id="rId14"/>
      <w:footerReference w:type="default" r:id="rId15"/>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1E012" w14:textId="77777777" w:rsidR="00805410" w:rsidRDefault="00805410">
      <w:r>
        <w:separator/>
      </w:r>
    </w:p>
  </w:endnote>
  <w:endnote w:type="continuationSeparator" w:id="0">
    <w:p w14:paraId="3855F3F1" w14:textId="77777777" w:rsidR="00805410" w:rsidRDefault="0080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lium Regular Upright">
    <w:panose1 w:val="00000500000000000000"/>
    <w:charset w:val="4D"/>
    <w:family w:val="auto"/>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EFBB7" w14:textId="77777777" w:rsidR="007A44E1" w:rsidRDefault="007A44E1" w:rsidP="00276D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47B62F6" w14:textId="77777777" w:rsidR="007A44E1" w:rsidRDefault="007A44E1" w:rsidP="007A44E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BDD1F" w14:textId="4B4072F3" w:rsidR="007A44E1" w:rsidRDefault="007A44E1" w:rsidP="00276D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82D21">
      <w:rPr>
        <w:rStyle w:val="Numeropagina"/>
        <w:noProof/>
      </w:rPr>
      <w:t>3</w:t>
    </w:r>
    <w:r>
      <w:rPr>
        <w:rStyle w:val="Numeropagina"/>
      </w:rPr>
      <w:fldChar w:fldCharType="end"/>
    </w:r>
  </w:p>
  <w:p w14:paraId="72CEB464" w14:textId="77777777" w:rsidR="007A44E1" w:rsidRDefault="007A44E1" w:rsidP="007A44E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971D3" w14:textId="77777777" w:rsidR="00805410" w:rsidRDefault="00805410">
      <w:r>
        <w:separator/>
      </w:r>
    </w:p>
  </w:footnote>
  <w:footnote w:type="continuationSeparator" w:id="0">
    <w:p w14:paraId="556CDBED" w14:textId="77777777" w:rsidR="00805410" w:rsidRDefault="00805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74549"/>
    <w:multiLevelType w:val="hybridMultilevel"/>
    <w:tmpl w:val="A2E6C67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7D39E6"/>
    <w:multiLevelType w:val="hybridMultilevel"/>
    <w:tmpl w:val="D12E5CA2"/>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4D6CD2"/>
    <w:multiLevelType w:val="hybridMultilevel"/>
    <w:tmpl w:val="281E591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CD64D4"/>
    <w:multiLevelType w:val="hybridMultilevel"/>
    <w:tmpl w:val="1B388C0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6F3052F7"/>
    <w:multiLevelType w:val="hybridMultilevel"/>
    <w:tmpl w:val="2122577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7" w15:restartNumberingAfterBreak="0">
    <w:nsid w:val="71284C08"/>
    <w:multiLevelType w:val="hybridMultilevel"/>
    <w:tmpl w:val="A89A8F96"/>
    <w:lvl w:ilvl="0" w:tplc="100E705A">
      <w:start w:val="1"/>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765A1FB5"/>
    <w:multiLevelType w:val="hybridMultilevel"/>
    <w:tmpl w:val="4AAAC0B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0" w15:restartNumberingAfterBreak="0">
    <w:nsid w:val="7F041982"/>
    <w:multiLevelType w:val="hybridMultilevel"/>
    <w:tmpl w:val="B02ABA9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2"/>
  </w:num>
  <w:num w:numId="4">
    <w:abstractNumId w:val="10"/>
  </w:num>
  <w:num w:numId="5">
    <w:abstractNumId w:val="5"/>
  </w:num>
  <w:num w:numId="6">
    <w:abstractNumId w:val="8"/>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E79"/>
    <w:rsid w:val="00001557"/>
    <w:rsid w:val="000068D3"/>
    <w:rsid w:val="000108D5"/>
    <w:rsid w:val="000118BC"/>
    <w:rsid w:val="000138B9"/>
    <w:rsid w:val="00015089"/>
    <w:rsid w:val="00025EA9"/>
    <w:rsid w:val="00027FD1"/>
    <w:rsid w:val="000565A3"/>
    <w:rsid w:val="00062DE0"/>
    <w:rsid w:val="00067641"/>
    <w:rsid w:val="000779E4"/>
    <w:rsid w:val="000861A5"/>
    <w:rsid w:val="00087488"/>
    <w:rsid w:val="00091434"/>
    <w:rsid w:val="00091590"/>
    <w:rsid w:val="00093424"/>
    <w:rsid w:val="00095B5C"/>
    <w:rsid w:val="000971CF"/>
    <w:rsid w:val="0009769F"/>
    <w:rsid w:val="000A1363"/>
    <w:rsid w:val="000A70F0"/>
    <w:rsid w:val="000C08F7"/>
    <w:rsid w:val="000C70A2"/>
    <w:rsid w:val="000E0922"/>
    <w:rsid w:val="000E10D2"/>
    <w:rsid w:val="00100AA2"/>
    <w:rsid w:val="00102865"/>
    <w:rsid w:val="0010637F"/>
    <w:rsid w:val="0011408E"/>
    <w:rsid w:val="00142FCE"/>
    <w:rsid w:val="00145558"/>
    <w:rsid w:val="00161B74"/>
    <w:rsid w:val="001673CB"/>
    <w:rsid w:val="001778E8"/>
    <w:rsid w:val="00184525"/>
    <w:rsid w:val="00194E74"/>
    <w:rsid w:val="001A416B"/>
    <w:rsid w:val="001A7AA7"/>
    <w:rsid w:val="001B0E4B"/>
    <w:rsid w:val="001C39AD"/>
    <w:rsid w:val="001D48DB"/>
    <w:rsid w:val="001D5197"/>
    <w:rsid w:val="001E6569"/>
    <w:rsid w:val="001E7A57"/>
    <w:rsid w:val="00203BD5"/>
    <w:rsid w:val="002205B4"/>
    <w:rsid w:val="00222CDA"/>
    <w:rsid w:val="002264EE"/>
    <w:rsid w:val="00226851"/>
    <w:rsid w:val="00241E32"/>
    <w:rsid w:val="00243EAF"/>
    <w:rsid w:val="00276DA0"/>
    <w:rsid w:val="002A18EC"/>
    <w:rsid w:val="002A3D38"/>
    <w:rsid w:val="002A4CE6"/>
    <w:rsid w:val="002A507E"/>
    <w:rsid w:val="002B4DA6"/>
    <w:rsid w:val="002B79A8"/>
    <w:rsid w:val="002C2A25"/>
    <w:rsid w:val="002D47F2"/>
    <w:rsid w:val="002E1049"/>
    <w:rsid w:val="002E39AC"/>
    <w:rsid w:val="0030077F"/>
    <w:rsid w:val="00302621"/>
    <w:rsid w:val="0030387D"/>
    <w:rsid w:val="00310914"/>
    <w:rsid w:val="003140B1"/>
    <w:rsid w:val="00326C35"/>
    <w:rsid w:val="00327E44"/>
    <w:rsid w:val="00332D24"/>
    <w:rsid w:val="003449BF"/>
    <w:rsid w:val="00345A84"/>
    <w:rsid w:val="00352EAA"/>
    <w:rsid w:val="0035520B"/>
    <w:rsid w:val="00364B27"/>
    <w:rsid w:val="0036533E"/>
    <w:rsid w:val="003722D8"/>
    <w:rsid w:val="00374178"/>
    <w:rsid w:val="003777BF"/>
    <w:rsid w:val="00387D2F"/>
    <w:rsid w:val="0039662F"/>
    <w:rsid w:val="00397CAC"/>
    <w:rsid w:val="003A6269"/>
    <w:rsid w:val="003B6C89"/>
    <w:rsid w:val="003C18D3"/>
    <w:rsid w:val="003D4867"/>
    <w:rsid w:val="003D65CB"/>
    <w:rsid w:val="003E600C"/>
    <w:rsid w:val="003F27E5"/>
    <w:rsid w:val="003F5EBE"/>
    <w:rsid w:val="00401935"/>
    <w:rsid w:val="00426CC0"/>
    <w:rsid w:val="00427F2D"/>
    <w:rsid w:val="0044796A"/>
    <w:rsid w:val="004605A0"/>
    <w:rsid w:val="00465C61"/>
    <w:rsid w:val="004760AA"/>
    <w:rsid w:val="00476691"/>
    <w:rsid w:val="0048100D"/>
    <w:rsid w:val="00484FC7"/>
    <w:rsid w:val="004959E1"/>
    <w:rsid w:val="004A6781"/>
    <w:rsid w:val="004B1FA5"/>
    <w:rsid w:val="004B66E9"/>
    <w:rsid w:val="004D3B0B"/>
    <w:rsid w:val="004E56FD"/>
    <w:rsid w:val="004F2DCF"/>
    <w:rsid w:val="00504CAB"/>
    <w:rsid w:val="00521AE4"/>
    <w:rsid w:val="005303E0"/>
    <w:rsid w:val="0053722B"/>
    <w:rsid w:val="00544152"/>
    <w:rsid w:val="005545AD"/>
    <w:rsid w:val="00565596"/>
    <w:rsid w:val="00571AC2"/>
    <w:rsid w:val="005819D1"/>
    <w:rsid w:val="005A5AB8"/>
    <w:rsid w:val="005A7938"/>
    <w:rsid w:val="005B7072"/>
    <w:rsid w:val="005C4D63"/>
    <w:rsid w:val="005D57A7"/>
    <w:rsid w:val="005E0E76"/>
    <w:rsid w:val="005E1B72"/>
    <w:rsid w:val="005E5A59"/>
    <w:rsid w:val="00623EF1"/>
    <w:rsid w:val="006329F2"/>
    <w:rsid w:val="00633693"/>
    <w:rsid w:val="00642FB5"/>
    <w:rsid w:val="00645F74"/>
    <w:rsid w:val="00651C88"/>
    <w:rsid w:val="00653DAC"/>
    <w:rsid w:val="00657A91"/>
    <w:rsid w:val="00690558"/>
    <w:rsid w:val="00696144"/>
    <w:rsid w:val="00696169"/>
    <w:rsid w:val="006969CC"/>
    <w:rsid w:val="006A1DDE"/>
    <w:rsid w:val="006A455D"/>
    <w:rsid w:val="006A6E89"/>
    <w:rsid w:val="006C46C7"/>
    <w:rsid w:val="006C59D3"/>
    <w:rsid w:val="006C75F4"/>
    <w:rsid w:val="006D06CD"/>
    <w:rsid w:val="006F2CC0"/>
    <w:rsid w:val="006F71E8"/>
    <w:rsid w:val="00714D2B"/>
    <w:rsid w:val="00746CB9"/>
    <w:rsid w:val="007579A5"/>
    <w:rsid w:val="00773A89"/>
    <w:rsid w:val="00776264"/>
    <w:rsid w:val="00780712"/>
    <w:rsid w:val="00793494"/>
    <w:rsid w:val="007A07FD"/>
    <w:rsid w:val="007A34D8"/>
    <w:rsid w:val="007A44E1"/>
    <w:rsid w:val="007B3933"/>
    <w:rsid w:val="007B4452"/>
    <w:rsid w:val="007B79FB"/>
    <w:rsid w:val="007C709F"/>
    <w:rsid w:val="007D2316"/>
    <w:rsid w:val="007D4CDE"/>
    <w:rsid w:val="007E08B9"/>
    <w:rsid w:val="007E0F9D"/>
    <w:rsid w:val="007E6A4C"/>
    <w:rsid w:val="007F5100"/>
    <w:rsid w:val="007F76AA"/>
    <w:rsid w:val="00805410"/>
    <w:rsid w:val="00807C74"/>
    <w:rsid w:val="00814C5F"/>
    <w:rsid w:val="008402F3"/>
    <w:rsid w:val="00840494"/>
    <w:rsid w:val="00843C87"/>
    <w:rsid w:val="0086324A"/>
    <w:rsid w:val="00867FE5"/>
    <w:rsid w:val="00873ACA"/>
    <w:rsid w:val="008752C9"/>
    <w:rsid w:val="0087659E"/>
    <w:rsid w:val="00890B5F"/>
    <w:rsid w:val="008B45D0"/>
    <w:rsid w:val="008C0809"/>
    <w:rsid w:val="008C18DC"/>
    <w:rsid w:val="008D433B"/>
    <w:rsid w:val="008E1298"/>
    <w:rsid w:val="008F1928"/>
    <w:rsid w:val="008F5717"/>
    <w:rsid w:val="008F5FD0"/>
    <w:rsid w:val="00900780"/>
    <w:rsid w:val="0090221F"/>
    <w:rsid w:val="0091368D"/>
    <w:rsid w:val="00920A6C"/>
    <w:rsid w:val="00923030"/>
    <w:rsid w:val="009249BD"/>
    <w:rsid w:val="0092528B"/>
    <w:rsid w:val="0093008E"/>
    <w:rsid w:val="00934624"/>
    <w:rsid w:val="009473EB"/>
    <w:rsid w:val="00951A11"/>
    <w:rsid w:val="00953030"/>
    <w:rsid w:val="009619D6"/>
    <w:rsid w:val="00961AB2"/>
    <w:rsid w:val="00976F6E"/>
    <w:rsid w:val="00982BDF"/>
    <w:rsid w:val="00984AFE"/>
    <w:rsid w:val="0099203B"/>
    <w:rsid w:val="00996609"/>
    <w:rsid w:val="009A0BB7"/>
    <w:rsid w:val="009B3461"/>
    <w:rsid w:val="009B5A87"/>
    <w:rsid w:val="009C2847"/>
    <w:rsid w:val="009C6CEE"/>
    <w:rsid w:val="009D61D0"/>
    <w:rsid w:val="009D69AA"/>
    <w:rsid w:val="009E16E7"/>
    <w:rsid w:val="009F5AF6"/>
    <w:rsid w:val="00A02033"/>
    <w:rsid w:val="00A10664"/>
    <w:rsid w:val="00A12901"/>
    <w:rsid w:val="00A13F04"/>
    <w:rsid w:val="00A15867"/>
    <w:rsid w:val="00A22487"/>
    <w:rsid w:val="00A27D6B"/>
    <w:rsid w:val="00A3448D"/>
    <w:rsid w:val="00A35195"/>
    <w:rsid w:val="00A50F1C"/>
    <w:rsid w:val="00A6101D"/>
    <w:rsid w:val="00A94775"/>
    <w:rsid w:val="00AA300E"/>
    <w:rsid w:val="00AA3BA3"/>
    <w:rsid w:val="00AA3E0A"/>
    <w:rsid w:val="00AA6F8C"/>
    <w:rsid w:val="00AB08A1"/>
    <w:rsid w:val="00AB6111"/>
    <w:rsid w:val="00AC419A"/>
    <w:rsid w:val="00AD53A2"/>
    <w:rsid w:val="00AE1F05"/>
    <w:rsid w:val="00AE2299"/>
    <w:rsid w:val="00B026C7"/>
    <w:rsid w:val="00B2682A"/>
    <w:rsid w:val="00B315C5"/>
    <w:rsid w:val="00B33C34"/>
    <w:rsid w:val="00B548D5"/>
    <w:rsid w:val="00B56D4B"/>
    <w:rsid w:val="00B60F68"/>
    <w:rsid w:val="00B6681E"/>
    <w:rsid w:val="00B775EA"/>
    <w:rsid w:val="00B8130B"/>
    <w:rsid w:val="00B92299"/>
    <w:rsid w:val="00B92D42"/>
    <w:rsid w:val="00B92E79"/>
    <w:rsid w:val="00B95289"/>
    <w:rsid w:val="00B9731B"/>
    <w:rsid w:val="00BA2912"/>
    <w:rsid w:val="00BA2C9E"/>
    <w:rsid w:val="00BA561F"/>
    <w:rsid w:val="00BA7273"/>
    <w:rsid w:val="00BD27FC"/>
    <w:rsid w:val="00BE59D3"/>
    <w:rsid w:val="00C003C1"/>
    <w:rsid w:val="00C141D4"/>
    <w:rsid w:val="00C149E1"/>
    <w:rsid w:val="00C16398"/>
    <w:rsid w:val="00C24B0D"/>
    <w:rsid w:val="00C3008F"/>
    <w:rsid w:val="00C3644B"/>
    <w:rsid w:val="00C3792D"/>
    <w:rsid w:val="00C5409A"/>
    <w:rsid w:val="00C55B16"/>
    <w:rsid w:val="00C7410D"/>
    <w:rsid w:val="00C80415"/>
    <w:rsid w:val="00C830AA"/>
    <w:rsid w:val="00C92389"/>
    <w:rsid w:val="00CA28CC"/>
    <w:rsid w:val="00CA3986"/>
    <w:rsid w:val="00CA41E1"/>
    <w:rsid w:val="00CA634D"/>
    <w:rsid w:val="00CB60CA"/>
    <w:rsid w:val="00CC1347"/>
    <w:rsid w:val="00CC29ED"/>
    <w:rsid w:val="00CC3A16"/>
    <w:rsid w:val="00CC718A"/>
    <w:rsid w:val="00D1316D"/>
    <w:rsid w:val="00D26E24"/>
    <w:rsid w:val="00D37014"/>
    <w:rsid w:val="00D42E7A"/>
    <w:rsid w:val="00D45EBE"/>
    <w:rsid w:val="00D46164"/>
    <w:rsid w:val="00D47B9F"/>
    <w:rsid w:val="00D50CD1"/>
    <w:rsid w:val="00D630D8"/>
    <w:rsid w:val="00D64975"/>
    <w:rsid w:val="00D660FA"/>
    <w:rsid w:val="00D6721B"/>
    <w:rsid w:val="00D67DD5"/>
    <w:rsid w:val="00D71F01"/>
    <w:rsid w:val="00D85267"/>
    <w:rsid w:val="00D87B5D"/>
    <w:rsid w:val="00D9098C"/>
    <w:rsid w:val="00D970DC"/>
    <w:rsid w:val="00D9793D"/>
    <w:rsid w:val="00DA4F06"/>
    <w:rsid w:val="00DA5AF5"/>
    <w:rsid w:val="00DB3E54"/>
    <w:rsid w:val="00DD1185"/>
    <w:rsid w:val="00DD6E10"/>
    <w:rsid w:val="00DE1841"/>
    <w:rsid w:val="00DE506B"/>
    <w:rsid w:val="00DF57CF"/>
    <w:rsid w:val="00DF57DF"/>
    <w:rsid w:val="00E12173"/>
    <w:rsid w:val="00E12A18"/>
    <w:rsid w:val="00E27646"/>
    <w:rsid w:val="00E3303D"/>
    <w:rsid w:val="00E43CE6"/>
    <w:rsid w:val="00E6043B"/>
    <w:rsid w:val="00E63AAA"/>
    <w:rsid w:val="00E67398"/>
    <w:rsid w:val="00E71EE2"/>
    <w:rsid w:val="00E76F9B"/>
    <w:rsid w:val="00E80433"/>
    <w:rsid w:val="00E80988"/>
    <w:rsid w:val="00E82E1C"/>
    <w:rsid w:val="00E84F90"/>
    <w:rsid w:val="00E87776"/>
    <w:rsid w:val="00E9761D"/>
    <w:rsid w:val="00EB2140"/>
    <w:rsid w:val="00EB6379"/>
    <w:rsid w:val="00EB73D5"/>
    <w:rsid w:val="00EC327D"/>
    <w:rsid w:val="00EF39F7"/>
    <w:rsid w:val="00EF7FC1"/>
    <w:rsid w:val="00F16471"/>
    <w:rsid w:val="00F26B0A"/>
    <w:rsid w:val="00F320E8"/>
    <w:rsid w:val="00F37D02"/>
    <w:rsid w:val="00F572FF"/>
    <w:rsid w:val="00F60137"/>
    <w:rsid w:val="00F64227"/>
    <w:rsid w:val="00F66A5D"/>
    <w:rsid w:val="00F82D21"/>
    <w:rsid w:val="00F91937"/>
    <w:rsid w:val="00F91A67"/>
    <w:rsid w:val="00F94FDB"/>
    <w:rsid w:val="00FA18D0"/>
    <w:rsid w:val="00FC0915"/>
    <w:rsid w:val="00FC587B"/>
    <w:rsid w:val="00FC68EF"/>
    <w:rsid w:val="00FE3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429A4"/>
  <w15:chartTrackingRefBased/>
  <w15:docId w15:val="{252CEAFD-485C-4B34-B002-578CD031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900780"/>
    <w:pPr>
      <w:jc w:val="both"/>
    </w:pPr>
    <w:rPr>
      <w:b/>
      <w:sz w:val="28"/>
      <w:szCs w:val="20"/>
    </w:rPr>
  </w:style>
  <w:style w:type="paragraph" w:styleId="Testofumetto">
    <w:name w:val="Balloon Text"/>
    <w:basedOn w:val="Normale"/>
    <w:semiHidden/>
    <w:rsid w:val="0048100D"/>
    <w:rPr>
      <w:rFonts w:ascii="Tahoma" w:hAnsi="Tahoma" w:cs="Tahoma"/>
      <w:sz w:val="16"/>
      <w:szCs w:val="16"/>
    </w:rPr>
  </w:style>
  <w:style w:type="paragraph" w:styleId="Intestazione">
    <w:name w:val="header"/>
    <w:basedOn w:val="Normale"/>
    <w:link w:val="IntestazioneCarattere"/>
    <w:rsid w:val="002A507E"/>
    <w:pPr>
      <w:tabs>
        <w:tab w:val="center" w:pos="4819"/>
        <w:tab w:val="right" w:pos="9638"/>
      </w:tabs>
    </w:pPr>
  </w:style>
  <w:style w:type="paragraph" w:styleId="Pidipagina">
    <w:name w:val="footer"/>
    <w:basedOn w:val="Normale"/>
    <w:rsid w:val="002A507E"/>
    <w:pPr>
      <w:tabs>
        <w:tab w:val="center" w:pos="4819"/>
        <w:tab w:val="right" w:pos="9638"/>
      </w:tabs>
    </w:pPr>
  </w:style>
  <w:style w:type="paragraph" w:styleId="Rientrocorpodeltesto2">
    <w:name w:val="Body Text Indent 2"/>
    <w:basedOn w:val="Normale"/>
    <w:rsid w:val="00C24B0D"/>
    <w:pPr>
      <w:spacing w:after="120" w:line="480" w:lineRule="auto"/>
      <w:ind w:left="283"/>
    </w:pPr>
  </w:style>
  <w:style w:type="paragraph" w:styleId="Rientrocorpodeltesto">
    <w:name w:val="Body Text Indent"/>
    <w:basedOn w:val="Normale"/>
    <w:rsid w:val="00571AC2"/>
    <w:pPr>
      <w:spacing w:after="120"/>
      <w:ind w:left="283"/>
    </w:pPr>
    <w:rPr>
      <w:rFonts w:ascii="Book Antiqua" w:hAnsi="Book Antiqua"/>
    </w:rPr>
  </w:style>
  <w:style w:type="character" w:styleId="Numeropagina">
    <w:name w:val="page number"/>
    <w:basedOn w:val="Carpredefinitoparagrafo"/>
    <w:rsid w:val="007A44E1"/>
  </w:style>
  <w:style w:type="character" w:customStyle="1" w:styleId="IntestazioneCarattere">
    <w:name w:val="Intestazione Carattere"/>
    <w:link w:val="Intestazione"/>
    <w:locked/>
    <w:rsid w:val="002264EE"/>
    <w:rPr>
      <w:sz w:val="24"/>
      <w:szCs w:val="24"/>
      <w:lang w:val="it-IT" w:eastAsia="it-IT" w:bidi="ar-SA"/>
    </w:rPr>
  </w:style>
  <w:style w:type="character" w:styleId="Rimandonotaapidipagina">
    <w:name w:val="footnote reference"/>
    <w:rsid w:val="00302621"/>
    <w:rPr>
      <w:vertAlign w:val="superscript"/>
    </w:rPr>
  </w:style>
  <w:style w:type="paragraph" w:styleId="Testonotaapidipagina">
    <w:name w:val="footnote text"/>
    <w:basedOn w:val="Normale"/>
    <w:link w:val="TestonotaapidipaginaCarattere"/>
    <w:rsid w:val="00302621"/>
    <w:pPr>
      <w:suppressAutoHyphens/>
    </w:pPr>
    <w:rPr>
      <w:sz w:val="20"/>
      <w:szCs w:val="20"/>
      <w:lang w:eastAsia="ar-SA"/>
    </w:rPr>
  </w:style>
  <w:style w:type="character" w:customStyle="1" w:styleId="TestonotaapidipaginaCarattere">
    <w:name w:val="Testo nota a piè di pagina Carattere"/>
    <w:link w:val="Testonotaapidipagina"/>
    <w:rsid w:val="00302621"/>
    <w:rPr>
      <w:lang w:eastAsia="ar-SA"/>
    </w:rPr>
  </w:style>
  <w:style w:type="character" w:styleId="Enfasicorsivo">
    <w:name w:val="Emphasis"/>
    <w:uiPriority w:val="20"/>
    <w:qFormat/>
    <w:rsid w:val="00302621"/>
    <w:rPr>
      <w:i/>
      <w:iCs/>
    </w:rPr>
  </w:style>
  <w:style w:type="character" w:styleId="Collegamentoipertestuale">
    <w:name w:val="Hyperlink"/>
    <w:uiPriority w:val="99"/>
    <w:unhideWhenUsed/>
    <w:rsid w:val="005A5AB8"/>
    <w:rPr>
      <w:color w:val="0000FF"/>
      <w:u w:val="single"/>
    </w:rPr>
  </w:style>
  <w:style w:type="paragraph" w:customStyle="1" w:styleId="regolamento">
    <w:name w:val="regolamento"/>
    <w:basedOn w:val="Normale"/>
    <w:rsid w:val="00793494"/>
    <w:pPr>
      <w:widowControl w:val="0"/>
      <w:tabs>
        <w:tab w:val="left" w:pos="-2127"/>
      </w:tabs>
      <w:suppressAutoHyphens/>
      <w:ind w:left="284" w:hanging="284"/>
      <w:jc w:val="both"/>
    </w:pPr>
    <w:rPr>
      <w:rFonts w:ascii="Arial" w:hAnsi="Arial" w:cs="Arial"/>
      <w:sz w:val="20"/>
      <w:lang w:eastAsia="ar-SA"/>
    </w:rPr>
  </w:style>
  <w:style w:type="paragraph" w:customStyle="1" w:styleId="Default">
    <w:name w:val="Default"/>
    <w:rsid w:val="00E3303D"/>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958862">
      <w:bodyDiv w:val="1"/>
      <w:marLeft w:val="0"/>
      <w:marRight w:val="0"/>
      <w:marTop w:val="0"/>
      <w:marBottom w:val="0"/>
      <w:divBdr>
        <w:top w:val="none" w:sz="0" w:space="0" w:color="auto"/>
        <w:left w:val="none" w:sz="0" w:space="0" w:color="auto"/>
        <w:bottom w:val="none" w:sz="0" w:space="0" w:color="auto"/>
        <w:right w:val="none" w:sz="0" w:space="0" w:color="auto"/>
      </w:divBdr>
    </w:div>
    <w:div w:id="1501119708">
      <w:bodyDiv w:val="1"/>
      <w:marLeft w:val="0"/>
      <w:marRight w:val="0"/>
      <w:marTop w:val="0"/>
      <w:marBottom w:val="0"/>
      <w:divBdr>
        <w:top w:val="none" w:sz="0" w:space="0" w:color="auto"/>
        <w:left w:val="none" w:sz="0" w:space="0" w:color="auto"/>
        <w:bottom w:val="none" w:sz="0" w:space="0" w:color="auto"/>
        <w:right w:val="none" w:sz="0" w:space="0" w:color="auto"/>
      </w:divBdr>
    </w:div>
    <w:div w:id="1836532170">
      <w:bodyDiv w:val="1"/>
      <w:marLeft w:val="0"/>
      <w:marRight w:val="0"/>
      <w:marTop w:val="0"/>
      <w:marBottom w:val="0"/>
      <w:divBdr>
        <w:top w:val="none" w:sz="0" w:space="0" w:color="auto"/>
        <w:left w:val="none" w:sz="0" w:space="0" w:color="auto"/>
        <w:bottom w:val="none" w:sz="0" w:space="0" w:color="auto"/>
        <w:right w:val="none" w:sz="0" w:space="0" w:color="auto"/>
      </w:divBdr>
    </w:div>
    <w:div w:id="195274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2011_0159.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2D943-0097-AD47-9C40-2E118A0AC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1385</Words>
  <Characters>7900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Allegato C</vt:lpstr>
    </vt:vector>
  </TitlesOfParts>
  <Company>unina</Company>
  <LinksUpToDate>false</LinksUpToDate>
  <CharactersWithSpaces>9267</CharactersWithSpaces>
  <SharedDoc>false</SharedDoc>
  <HLinks>
    <vt:vector size="24" baseType="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1900581</vt:i4>
      </vt:variant>
      <vt:variant>
        <vt:i4>3</vt:i4>
      </vt:variant>
      <vt:variant>
        <vt:i4>0</vt:i4>
      </vt:variant>
      <vt:variant>
        <vt:i4>5</vt:i4>
      </vt:variant>
      <vt:variant>
        <vt:lpwstr>http://www.bosettiegatti.eu/info/norme/statali/2011_0159.htm</vt:lpwstr>
      </vt:variant>
      <vt:variant>
        <vt:lpwstr>092</vt:lpwstr>
      </vt:variant>
      <vt:variant>
        <vt:i4>1835045</vt:i4>
      </vt:variant>
      <vt:variant>
        <vt:i4>0</vt:i4>
      </vt:variant>
      <vt:variant>
        <vt:i4>0</vt:i4>
      </vt:variant>
      <vt:variant>
        <vt:i4>5</vt:i4>
      </vt:variant>
      <vt:variant>
        <vt:lpwstr>http://www.bosettiegatti.eu/info/norme/statali/2011_0159.htm</vt:lpwstr>
      </vt:variant>
      <vt:variant>
        <vt:lpwstr>088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dc:title>
  <dc:subject/>
  <dc:creator>Annalisa Pacelli</dc:creator>
  <cp:keywords/>
  <cp:lastModifiedBy>Utente di Microsoft Office</cp:lastModifiedBy>
  <cp:revision>12</cp:revision>
  <cp:lastPrinted>2019-07-04T15:38:00Z</cp:lastPrinted>
  <dcterms:created xsi:type="dcterms:W3CDTF">2023-02-22T16:17:00Z</dcterms:created>
  <dcterms:modified xsi:type="dcterms:W3CDTF">2023-10-09T15:23:00Z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2023-10-06T05:57:12Z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30aeddda-ec01-487a-86ec-6f4f358598fb</vt:lpwstr>
  </property>
  <property fmtid="{D5CDD505-2E9C-101B-9397-08002B2CF9AE}" pid="8" name="MSIP_Label_2ad0b24d-6422-44b0-b3de-abb3a9e8c81a_ContentBits">
    <vt:lpwstr>0</vt:lpwstr>
  </property>
</Properties>
</file>