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1CFE" w14:textId="77777777" w:rsidR="007D4F4B" w:rsidRPr="000221AE" w:rsidRDefault="000301B2" w:rsidP="007D4F4B">
      <w:pPr>
        <w:jc w:val="both"/>
        <w:rPr>
          <w:rFonts w:ascii="Titillium" w:hAnsi="Titillium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7D4F4B" w:rsidRPr="000221AE">
        <w:rPr>
          <w:rFonts w:ascii="Titillium" w:hAnsi="Titillium" w:cstheme="minorHAnsi"/>
          <w:b/>
          <w:noProof/>
          <w:sz w:val="40"/>
          <w:szCs w:val="40"/>
        </w:rPr>
        <w:drawing>
          <wp:inline distT="0" distB="0" distL="0" distR="0" wp14:anchorId="3EFA2AAB" wp14:editId="1E43BAB0">
            <wp:extent cx="6115050" cy="533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A00AF" w14:textId="77777777" w:rsidR="007D4F4B" w:rsidRPr="000221AE" w:rsidRDefault="007D4F4B" w:rsidP="007D4F4B">
      <w:pPr>
        <w:jc w:val="center"/>
        <w:rPr>
          <w:rFonts w:ascii="Titillium" w:hAnsi="Titillium" w:cstheme="minorHAnsi"/>
          <w:b/>
          <w:sz w:val="40"/>
          <w:szCs w:val="40"/>
        </w:rPr>
      </w:pPr>
      <w:bookmarkStart w:id="0" w:name="_Hlk127881265"/>
      <w:r w:rsidRPr="000221AE">
        <w:rPr>
          <w:rFonts w:ascii="Titillium" w:hAnsi="Titillium" w:cstheme="minorHAnsi"/>
          <w:b/>
          <w:sz w:val="40"/>
          <w:szCs w:val="40"/>
        </w:rPr>
        <w:t>Centro Nazionale HPC, Big Data e Quantum Computing</w:t>
      </w:r>
    </w:p>
    <w:p w14:paraId="48E90D32" w14:textId="77777777" w:rsidR="007D4F4B" w:rsidRPr="000221AE" w:rsidRDefault="007D4F4B" w:rsidP="007D4F4B">
      <w:pPr>
        <w:pStyle w:val="Default"/>
        <w:jc w:val="center"/>
        <w:rPr>
          <w:rFonts w:ascii="Titillium" w:eastAsia="Times New Roman" w:hAnsi="Titillium" w:cs="Calibri"/>
          <w:b/>
          <w:bCs/>
          <w:sz w:val="28"/>
          <w:szCs w:val="28"/>
          <w:lang w:val="it-IT" w:eastAsia="it-IT"/>
        </w:rPr>
      </w:pPr>
      <w:r w:rsidRPr="000221AE">
        <w:rPr>
          <w:rFonts w:ascii="Titillium" w:eastAsia="Times New Roman" w:hAnsi="Titillium" w:cs="Calibri"/>
          <w:b/>
          <w:bCs/>
          <w:sz w:val="28"/>
          <w:szCs w:val="28"/>
          <w:lang w:val="it-IT" w:eastAsia="it-IT"/>
        </w:rPr>
        <w:t>Missione 4, Componente 2, Investimento 1.4</w:t>
      </w:r>
    </w:p>
    <w:p w14:paraId="2FAC05EA" w14:textId="4D3F2427" w:rsidR="007D4F4B" w:rsidRDefault="007D4F4B" w:rsidP="007D4F4B">
      <w:pPr>
        <w:jc w:val="center"/>
        <w:rPr>
          <w:rFonts w:ascii="Titillium" w:hAnsi="Titillium" w:cs="Calibri"/>
          <w:b/>
          <w:bCs/>
          <w:color w:val="000000"/>
          <w:sz w:val="28"/>
          <w:szCs w:val="28"/>
        </w:rPr>
      </w:pPr>
      <w:r w:rsidRPr="000221AE">
        <w:rPr>
          <w:rFonts w:ascii="Titillium" w:hAnsi="Titillium" w:cs="Calibri"/>
          <w:b/>
          <w:bCs/>
          <w:color w:val="000000"/>
          <w:sz w:val="28"/>
          <w:szCs w:val="28"/>
        </w:rPr>
        <w:t>Codice progetto MUR: CN_00000013 - CUP: E63C22000980007</w:t>
      </w:r>
    </w:p>
    <w:p w14:paraId="756BB82C" w14:textId="77777777" w:rsidR="007D4F4B" w:rsidRPr="000221AE" w:rsidRDefault="007D4F4B" w:rsidP="007D4F4B">
      <w:pPr>
        <w:jc w:val="center"/>
        <w:rPr>
          <w:rFonts w:ascii="Titillium" w:hAnsi="Titillium" w:cs="Calibri"/>
          <w:color w:val="000000"/>
        </w:rPr>
      </w:pPr>
    </w:p>
    <w:bookmarkEnd w:id="0"/>
    <w:p w14:paraId="40856BD7" w14:textId="77777777" w:rsidR="007D4F4B" w:rsidRPr="000221AE" w:rsidRDefault="007D4F4B" w:rsidP="007D4F4B">
      <w:pPr>
        <w:jc w:val="center"/>
        <w:rPr>
          <w:rFonts w:ascii="Titillium" w:hAnsi="Titillium" w:cs="Calibri"/>
          <w:b/>
          <w:bCs/>
          <w:color w:val="000000"/>
          <w:sz w:val="28"/>
          <w:szCs w:val="28"/>
        </w:rPr>
      </w:pPr>
      <w:r w:rsidRPr="000221AE">
        <w:rPr>
          <w:rFonts w:ascii="Titillium" w:hAnsi="Titillium" w:cs="Calibri"/>
          <w:noProof/>
          <w:color w:val="000000"/>
        </w:rPr>
        <w:drawing>
          <wp:inline distT="0" distB="0" distL="0" distR="0" wp14:anchorId="275DC03D" wp14:editId="52A4B6E1">
            <wp:extent cx="4257675" cy="647700"/>
            <wp:effectExtent l="0" t="0" r="952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FAAF" w14:textId="77777777" w:rsidR="007D4F4B" w:rsidRPr="000221AE" w:rsidRDefault="007D4F4B" w:rsidP="007D4F4B">
      <w:pPr>
        <w:rPr>
          <w:rFonts w:ascii="Titillium" w:hAnsi="Titillium"/>
          <w:sz w:val="30"/>
          <w:szCs w:val="30"/>
        </w:rPr>
      </w:pPr>
    </w:p>
    <w:p w14:paraId="127CFBBF" w14:textId="2A4BF4C6" w:rsidR="00806A89" w:rsidRDefault="00806A89" w:rsidP="007D4F4B">
      <w:pPr>
        <w:widowControl w:val="0"/>
        <w:tabs>
          <w:tab w:val="left" w:pos="850"/>
          <w:tab w:val="center" w:pos="5153"/>
        </w:tabs>
        <w:spacing w:line="360" w:lineRule="auto"/>
        <w:ind w:left="630" w:hanging="63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DBFDD2D" w14:textId="2675DBC6" w:rsidR="00AB0A73" w:rsidRPr="00141892" w:rsidRDefault="00E6332F" w:rsidP="00720319">
      <w:pPr>
        <w:pStyle w:val="Corpodeltesto2"/>
        <w:spacing w:line="240" w:lineRule="auto"/>
        <w:jc w:val="right"/>
        <w:rPr>
          <w:rFonts w:ascii="Titillium Regular Upright" w:hAnsi="Titillium Regular Upright" w:cs="Arial"/>
          <w:b/>
          <w:bCs/>
        </w:rPr>
      </w:pPr>
      <w:r w:rsidRPr="00141892">
        <w:rPr>
          <w:rFonts w:ascii="Titillium Regular Upright" w:hAnsi="Titillium Regular Upright" w:cs="Arial"/>
          <w:b/>
          <w:bCs/>
        </w:rPr>
        <w:t xml:space="preserve"> </w:t>
      </w:r>
      <w:r w:rsidR="000301B2" w:rsidRPr="00141892">
        <w:rPr>
          <w:rFonts w:ascii="Titillium Regular Upright" w:hAnsi="Titillium Regular Upright" w:cs="Arial"/>
          <w:b/>
          <w:bCs/>
        </w:rPr>
        <w:t xml:space="preserve">Modello </w:t>
      </w:r>
      <w:r w:rsidR="002F4A1E" w:rsidRPr="00141892">
        <w:rPr>
          <w:rFonts w:ascii="Titillium Regular Upright" w:hAnsi="Titillium Regular Upright" w:cs="Arial"/>
          <w:b/>
          <w:bCs/>
        </w:rPr>
        <w:t>D</w:t>
      </w:r>
    </w:p>
    <w:p w14:paraId="2494DD71" w14:textId="77777777" w:rsidR="00FE701F" w:rsidRPr="00141892" w:rsidRDefault="0087770D" w:rsidP="00720319">
      <w:pPr>
        <w:pStyle w:val="Corpodeltesto2"/>
        <w:tabs>
          <w:tab w:val="left" w:pos="5880"/>
        </w:tabs>
        <w:spacing w:line="240" w:lineRule="auto"/>
        <w:ind w:left="4956" w:firstLine="0"/>
        <w:jc w:val="right"/>
        <w:rPr>
          <w:rFonts w:ascii="Titillium Regular Upright" w:hAnsi="Titillium Regular Upright" w:cs="Arial"/>
          <w:b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/>
          <w:bCs/>
          <w:sz w:val="20"/>
          <w:szCs w:val="20"/>
        </w:rPr>
        <w:t>Dichiarazione sostitutiva familiari conviventi</w:t>
      </w:r>
    </w:p>
    <w:p w14:paraId="7E000692" w14:textId="77777777" w:rsidR="00AB0A73" w:rsidRPr="00141892" w:rsidRDefault="00AB0A73" w:rsidP="00FE701F">
      <w:pPr>
        <w:pStyle w:val="Corpodeltesto2"/>
        <w:spacing w:line="240" w:lineRule="auto"/>
        <w:jc w:val="center"/>
        <w:rPr>
          <w:rFonts w:ascii="Titillium Regular Upright" w:hAnsi="Titillium Regular Upright" w:cs="Arial"/>
          <w:b/>
          <w:bCs/>
          <w:sz w:val="16"/>
          <w:szCs w:val="16"/>
        </w:rPr>
      </w:pPr>
    </w:p>
    <w:p w14:paraId="62091D07" w14:textId="77777777" w:rsidR="006F4122" w:rsidRPr="00141892" w:rsidRDefault="006F4122" w:rsidP="00FE701F">
      <w:pPr>
        <w:pStyle w:val="Corpodeltesto2"/>
        <w:spacing w:line="240" w:lineRule="auto"/>
        <w:jc w:val="center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12AB777A" w14:textId="77777777" w:rsidR="006F4122" w:rsidRPr="00141892" w:rsidRDefault="006F4122" w:rsidP="00FE701F">
      <w:pPr>
        <w:pStyle w:val="Corpodeltesto2"/>
        <w:spacing w:line="240" w:lineRule="auto"/>
        <w:jc w:val="center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5713464E" w14:textId="77777777" w:rsidR="00FE701F" w:rsidRPr="00141892" w:rsidRDefault="00FE701F" w:rsidP="00FE701F">
      <w:pPr>
        <w:pStyle w:val="Corpodeltesto2"/>
        <w:spacing w:line="240" w:lineRule="auto"/>
        <w:jc w:val="center"/>
        <w:rPr>
          <w:rFonts w:ascii="Titillium Regular Upright" w:hAnsi="Titillium Regular Upright" w:cs="Arial"/>
          <w:b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/>
          <w:bCs/>
          <w:sz w:val="20"/>
          <w:szCs w:val="20"/>
        </w:rPr>
        <w:t>Dichiarazio</w:t>
      </w:r>
      <w:r w:rsidR="00AB0A73" w:rsidRPr="00141892">
        <w:rPr>
          <w:rFonts w:ascii="Titillium Regular Upright" w:hAnsi="Titillium Regular Upright" w:cs="Arial"/>
          <w:b/>
          <w:bCs/>
          <w:sz w:val="20"/>
          <w:szCs w:val="20"/>
        </w:rPr>
        <w:t>ne sostitutiva di certificazione</w:t>
      </w:r>
    </w:p>
    <w:p w14:paraId="197D0703" w14:textId="77777777" w:rsidR="00FE701F" w:rsidRPr="00141892" w:rsidRDefault="00FE701F" w:rsidP="00FE701F">
      <w:pPr>
        <w:jc w:val="center"/>
        <w:rPr>
          <w:rFonts w:ascii="Titillium Regular Upright" w:hAnsi="Titillium Regular Upright" w:cs="Arial"/>
          <w:sz w:val="20"/>
          <w:szCs w:val="20"/>
        </w:rPr>
      </w:pPr>
      <w:r w:rsidRPr="00141892">
        <w:rPr>
          <w:rFonts w:ascii="Titillium Regular Upright" w:hAnsi="Titillium Regular Upright" w:cs="Arial"/>
          <w:sz w:val="20"/>
          <w:szCs w:val="20"/>
        </w:rPr>
        <w:t>(D.P.R. n. 445 del 28.12.2000)</w:t>
      </w:r>
    </w:p>
    <w:p w14:paraId="6C82CE69" w14:textId="77777777" w:rsidR="009423CD" w:rsidRPr="00141892" w:rsidRDefault="009423CD" w:rsidP="00FE701F">
      <w:pPr>
        <w:jc w:val="center"/>
        <w:rPr>
          <w:rFonts w:ascii="Titillium Regular Upright" w:hAnsi="Titillium Regular Upright" w:cs="Arial"/>
          <w:sz w:val="20"/>
          <w:szCs w:val="20"/>
        </w:rPr>
      </w:pPr>
    </w:p>
    <w:p w14:paraId="2D9E44B4" w14:textId="6C0E31C0" w:rsidR="009423CD" w:rsidRPr="00141892" w:rsidRDefault="009423CD" w:rsidP="00806A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jc w:val="both"/>
        <w:rPr>
          <w:rFonts w:ascii="Titillium Regular Upright" w:hAnsi="Titillium Regular Upright"/>
          <w:b/>
          <w:bCs/>
          <w:sz w:val="20"/>
          <w:szCs w:val="20"/>
          <w:lang w:bidi="it-IT"/>
        </w:rPr>
      </w:pPr>
      <w:r w:rsidRPr="00141892">
        <w:rPr>
          <w:rFonts w:ascii="Titillium Regular Upright" w:hAnsi="Titillium Regular Upright"/>
          <w:b/>
          <w:sz w:val="20"/>
          <w:szCs w:val="20"/>
        </w:rPr>
        <w:t xml:space="preserve">Procedura negoziata per l’acquisto </w:t>
      </w:r>
      <w:r w:rsidR="007D4F4B" w:rsidRPr="00141892">
        <w:rPr>
          <w:rFonts w:ascii="Titillium Regular Upright" w:hAnsi="Titillium Regular Upright"/>
          <w:b/>
          <w:sz w:val="20"/>
          <w:szCs w:val="20"/>
        </w:rPr>
        <w:t xml:space="preserve">“Sistema Criogenico per il raffreddamento di Q-Bit” </w:t>
      </w:r>
      <w:r w:rsidR="00806A89" w:rsidRPr="00141892">
        <w:rPr>
          <w:rFonts w:ascii="Titillium Regular Upright" w:hAnsi="Titillium Regular Upright"/>
          <w:b/>
          <w:sz w:val="20"/>
          <w:szCs w:val="20"/>
        </w:rPr>
        <w:t>per i fabbisogni del</w:t>
      </w:r>
      <w:r w:rsidR="007D4F4B" w:rsidRPr="00141892">
        <w:rPr>
          <w:rFonts w:ascii="Titillium Regular Upright" w:hAnsi="Titillium Regular Upright"/>
          <w:b/>
          <w:lang w:eastAsia="ar-SA" w:bidi="it-IT"/>
        </w:rPr>
        <w:t xml:space="preserve"> </w:t>
      </w:r>
      <w:r w:rsidR="007D4F4B" w:rsidRPr="00141892">
        <w:rPr>
          <w:rFonts w:ascii="Titillium Regular Upright" w:hAnsi="Titillium Regular Upright"/>
          <w:b/>
          <w:sz w:val="20"/>
          <w:szCs w:val="20"/>
          <w:lang w:bidi="it-IT"/>
        </w:rPr>
        <w:t>Centro Nazionale HPC, Big Data e Quantum Computing</w:t>
      </w:r>
      <w:r w:rsidR="00141892">
        <w:rPr>
          <w:rFonts w:ascii="Titillium Regular Upright" w:hAnsi="Titillium Regular Upright"/>
          <w:b/>
          <w:sz w:val="20"/>
          <w:szCs w:val="20"/>
          <w:lang w:bidi="it-IT"/>
        </w:rPr>
        <w:t>,</w:t>
      </w:r>
      <w:r w:rsidR="007D4F4B" w:rsidRPr="00141892">
        <w:rPr>
          <w:rFonts w:ascii="Titillium Regular Upright" w:hAnsi="Titillium Regular Upright"/>
          <w:b/>
          <w:sz w:val="20"/>
          <w:szCs w:val="20"/>
          <w:lang w:bidi="it-IT"/>
        </w:rPr>
        <w:t xml:space="preserve"> </w:t>
      </w:r>
      <w:r w:rsidR="007D4F4B" w:rsidRPr="00141892">
        <w:rPr>
          <w:rFonts w:ascii="Titillium Regular Upright" w:hAnsi="Titillium Regular Upright"/>
          <w:b/>
          <w:bCs/>
          <w:sz w:val="20"/>
          <w:szCs w:val="20"/>
          <w:lang w:bidi="it-IT"/>
        </w:rPr>
        <w:t>Missione 4, Componente 2, Investimento 1.4</w:t>
      </w:r>
      <w:r w:rsidR="00141892">
        <w:rPr>
          <w:rFonts w:ascii="Titillium Regular Upright" w:hAnsi="Titillium Regular Upright"/>
          <w:b/>
          <w:bCs/>
          <w:sz w:val="20"/>
          <w:szCs w:val="20"/>
          <w:lang w:bidi="it-IT"/>
        </w:rPr>
        <w:t>,</w:t>
      </w:r>
      <w:r w:rsidR="007D4F4B" w:rsidRPr="00141892">
        <w:rPr>
          <w:rFonts w:ascii="Titillium Regular Upright" w:hAnsi="Titillium Regular Upright"/>
          <w:b/>
          <w:bCs/>
          <w:sz w:val="20"/>
          <w:szCs w:val="20"/>
          <w:lang w:bidi="it-IT"/>
        </w:rPr>
        <w:t xml:space="preserve"> Codice progetto MUR: CN_00000013 - CUP: E63C22000980007</w:t>
      </w:r>
    </w:p>
    <w:p w14:paraId="2BBE7972" w14:textId="77777777" w:rsidR="001709CA" w:rsidRPr="00141892" w:rsidRDefault="001709CA" w:rsidP="005D177A">
      <w:pPr>
        <w:spacing w:line="360" w:lineRule="auto"/>
        <w:rPr>
          <w:rFonts w:ascii="Titillium Regular Upright" w:hAnsi="Titillium Regular Upright" w:cs="Arial"/>
          <w:sz w:val="20"/>
          <w:szCs w:val="20"/>
        </w:rPr>
      </w:pPr>
    </w:p>
    <w:p w14:paraId="4545CBE7" w14:textId="0823A7B1" w:rsidR="00FE701F" w:rsidRPr="00141892" w:rsidRDefault="00FE701F" w:rsidP="006F4122">
      <w:pPr>
        <w:spacing w:line="360" w:lineRule="auto"/>
        <w:jc w:val="both"/>
        <w:rPr>
          <w:rFonts w:ascii="Titillium Regular Upright" w:hAnsi="Titillium Regular Upright" w:cs="Arial"/>
          <w:sz w:val="20"/>
          <w:szCs w:val="20"/>
        </w:rPr>
      </w:pPr>
      <w:r w:rsidRPr="00141892">
        <w:rPr>
          <w:rFonts w:ascii="Titillium Regular Upright" w:hAnsi="Titillium Regular Upright" w:cs="Arial"/>
          <w:sz w:val="20"/>
          <w:szCs w:val="20"/>
        </w:rPr>
        <w:t>_l_</w:t>
      </w:r>
      <w:r w:rsidR="00A244B1" w:rsidRPr="00141892">
        <w:rPr>
          <w:rFonts w:ascii="Titillium Regular Upright" w:hAnsi="Titillium Regular Upright" w:cs="Arial"/>
          <w:sz w:val="20"/>
          <w:szCs w:val="20"/>
        </w:rPr>
        <w:t xml:space="preserve"> </w:t>
      </w:r>
      <w:proofErr w:type="spellStart"/>
      <w:r w:rsidRPr="00141892">
        <w:rPr>
          <w:rFonts w:ascii="Titillium Regular Upright" w:hAnsi="Titillium Regular Upright" w:cs="Arial"/>
          <w:sz w:val="20"/>
          <w:szCs w:val="20"/>
        </w:rPr>
        <w:t>sottoscritt</w:t>
      </w:r>
      <w:proofErr w:type="spellEnd"/>
      <w:r w:rsidRPr="00141892">
        <w:rPr>
          <w:rFonts w:ascii="Titillium Regular Upright" w:hAnsi="Titillium Regular Upright" w:cs="Arial"/>
          <w:sz w:val="20"/>
          <w:szCs w:val="20"/>
        </w:rPr>
        <w:t>_</w:t>
      </w:r>
      <w:r w:rsidR="00141892">
        <w:rPr>
          <w:rFonts w:ascii="Titillium Regular Upright" w:hAnsi="Titillium Regular Upright" w:cs="Arial"/>
          <w:sz w:val="20"/>
          <w:szCs w:val="20"/>
        </w:rPr>
        <w:t xml:space="preserve"> </w:t>
      </w:r>
      <w:r w:rsidR="00A244B1" w:rsidRPr="00141892">
        <w:rPr>
          <w:rFonts w:ascii="Titillium Regular Upright" w:hAnsi="Titillium Regular Upright" w:cs="Arial"/>
          <w:sz w:val="20"/>
          <w:szCs w:val="20"/>
        </w:rPr>
        <w:t xml:space="preserve">(nome e cognome) </w:t>
      </w:r>
      <w:r w:rsidRPr="00141892">
        <w:rPr>
          <w:rFonts w:ascii="Titillium Regular Upright" w:hAnsi="Titillium Regular Upright" w:cs="Arial"/>
          <w:sz w:val="20"/>
          <w:szCs w:val="20"/>
        </w:rPr>
        <w:t>_____________________________</w:t>
      </w:r>
      <w:r w:rsidR="00A244B1" w:rsidRPr="00141892">
        <w:rPr>
          <w:rFonts w:ascii="Titillium Regular Upright" w:hAnsi="Titillium Regular Upright" w:cs="Arial"/>
          <w:sz w:val="20"/>
          <w:szCs w:val="20"/>
        </w:rPr>
        <w:t>____________________</w:t>
      </w:r>
    </w:p>
    <w:p w14:paraId="21AC2D51" w14:textId="73A66B93" w:rsidR="00FE701F" w:rsidRPr="00141892" w:rsidRDefault="00A244B1" w:rsidP="006F4122">
      <w:pPr>
        <w:spacing w:line="360" w:lineRule="auto"/>
        <w:jc w:val="both"/>
        <w:rPr>
          <w:rFonts w:ascii="Titillium Regular Upright" w:hAnsi="Titillium Regular Upright" w:cs="Arial"/>
          <w:sz w:val="20"/>
          <w:szCs w:val="20"/>
        </w:rPr>
      </w:pPr>
      <w:proofErr w:type="spellStart"/>
      <w:r w:rsidRPr="00141892">
        <w:rPr>
          <w:rFonts w:ascii="Titillium Regular Upright" w:hAnsi="Titillium Regular Upright" w:cs="Arial"/>
          <w:sz w:val="20"/>
          <w:szCs w:val="20"/>
        </w:rPr>
        <w:t>nat</w:t>
      </w:r>
      <w:proofErr w:type="spellEnd"/>
      <w:r w:rsidRPr="00141892">
        <w:rPr>
          <w:rFonts w:ascii="Titillium Regular Upright" w:hAnsi="Titillium Regular Upright" w:cs="Arial"/>
          <w:sz w:val="20"/>
          <w:szCs w:val="20"/>
        </w:rPr>
        <w:t xml:space="preserve">_ </w:t>
      </w:r>
      <w:r w:rsidR="00FE701F" w:rsidRPr="00141892">
        <w:rPr>
          <w:rFonts w:ascii="Titillium Regular Upright" w:hAnsi="Titillium Regular Upright" w:cs="Arial"/>
          <w:sz w:val="20"/>
          <w:szCs w:val="20"/>
        </w:rPr>
        <w:t>a __________________________</w:t>
      </w:r>
      <w:r w:rsidRPr="00141892">
        <w:rPr>
          <w:rFonts w:ascii="Titillium Regular Upright" w:hAnsi="Titillium Regular Upright" w:cs="Arial"/>
          <w:sz w:val="20"/>
          <w:szCs w:val="20"/>
        </w:rPr>
        <w:t xml:space="preserve"> </w:t>
      </w:r>
      <w:proofErr w:type="spellStart"/>
      <w:r w:rsidRPr="00141892">
        <w:rPr>
          <w:rFonts w:ascii="Titillium Regular Upright" w:hAnsi="Titillium Regular Upright" w:cs="Arial"/>
          <w:sz w:val="20"/>
          <w:szCs w:val="20"/>
        </w:rPr>
        <w:t>Prov</w:t>
      </w:r>
      <w:proofErr w:type="spellEnd"/>
      <w:r w:rsidRPr="00141892">
        <w:rPr>
          <w:rFonts w:ascii="Titillium Regular Upright" w:hAnsi="Titillium Regular Upright" w:cs="Arial"/>
          <w:sz w:val="20"/>
          <w:szCs w:val="20"/>
        </w:rPr>
        <w:t>. ________</w:t>
      </w:r>
      <w:r w:rsidR="000B183F" w:rsidRPr="00141892">
        <w:rPr>
          <w:rFonts w:ascii="Titillium Regular Upright" w:hAnsi="Titillium Regular Upright" w:cs="Arial"/>
          <w:sz w:val="20"/>
          <w:szCs w:val="20"/>
        </w:rPr>
        <w:t xml:space="preserve"> il ________________; CODICE FISCALE ________________________________</w:t>
      </w:r>
      <w:r w:rsidR="00FE701F" w:rsidRPr="00141892">
        <w:rPr>
          <w:rFonts w:ascii="Titillium Regular Upright" w:hAnsi="Titillium Regular Upright" w:cs="Arial"/>
          <w:sz w:val="20"/>
          <w:szCs w:val="20"/>
        </w:rPr>
        <w:t>residente a_____________________ via</w:t>
      </w:r>
      <w:r w:rsidRPr="00141892">
        <w:rPr>
          <w:rFonts w:ascii="Titillium Regular Upright" w:hAnsi="Titillium Regular Upright" w:cs="Arial"/>
          <w:sz w:val="20"/>
          <w:szCs w:val="20"/>
        </w:rPr>
        <w:t>/piazza</w:t>
      </w:r>
      <w:r w:rsidR="00FE701F" w:rsidRPr="00141892">
        <w:rPr>
          <w:rFonts w:ascii="Titillium Regular Upright" w:hAnsi="Titillium Regular Upright" w:cs="Arial"/>
          <w:sz w:val="20"/>
          <w:szCs w:val="20"/>
        </w:rPr>
        <w:t xml:space="preserve"> ____________</w:t>
      </w:r>
      <w:r w:rsidR="0050217C" w:rsidRPr="00141892">
        <w:rPr>
          <w:rFonts w:ascii="Titillium Regular Upright" w:hAnsi="Titillium Regular Upright" w:cs="Arial"/>
          <w:sz w:val="20"/>
          <w:szCs w:val="20"/>
        </w:rPr>
        <w:t>__________________n.____</w:t>
      </w:r>
      <w:r w:rsidR="00A82FA3" w:rsidRPr="00141892">
        <w:rPr>
          <w:rFonts w:ascii="Titillium Regular Upright" w:hAnsi="Titillium Regular Upright" w:cs="Arial"/>
          <w:sz w:val="20"/>
          <w:szCs w:val="20"/>
        </w:rPr>
        <w:t>___</w:t>
      </w:r>
    </w:p>
    <w:p w14:paraId="65535271" w14:textId="3B6378FA" w:rsidR="00A82FA3" w:rsidRPr="00141892" w:rsidRDefault="00A82FA3" w:rsidP="006F4122">
      <w:pPr>
        <w:spacing w:line="360" w:lineRule="auto"/>
        <w:jc w:val="both"/>
        <w:rPr>
          <w:rFonts w:ascii="Titillium Regular Upright" w:hAnsi="Titillium Regular Upright" w:cs="Arial"/>
          <w:sz w:val="20"/>
          <w:szCs w:val="20"/>
        </w:rPr>
      </w:pPr>
      <w:r w:rsidRPr="00141892">
        <w:rPr>
          <w:rFonts w:ascii="Titillium Regular Upright" w:hAnsi="Titillium Regular Upright" w:cs="Arial"/>
          <w:sz w:val="20"/>
          <w:szCs w:val="20"/>
        </w:rPr>
        <w:t>in qualità di________________________________________________________________</w:t>
      </w:r>
    </w:p>
    <w:p w14:paraId="488EA6F8" w14:textId="756F53F9" w:rsidR="00A82FA3" w:rsidRPr="00141892" w:rsidRDefault="00A82FA3" w:rsidP="006F4122">
      <w:pPr>
        <w:spacing w:line="360" w:lineRule="auto"/>
        <w:jc w:val="both"/>
        <w:rPr>
          <w:rFonts w:ascii="Titillium Regular Upright" w:hAnsi="Titillium Regular Upright" w:cs="Arial"/>
          <w:sz w:val="20"/>
          <w:szCs w:val="20"/>
        </w:rPr>
      </w:pPr>
      <w:r w:rsidRPr="00141892">
        <w:rPr>
          <w:rFonts w:ascii="Titillium Regular Upright" w:hAnsi="Titillium Regular Upright" w:cs="Arial"/>
          <w:sz w:val="20"/>
          <w:szCs w:val="20"/>
        </w:rPr>
        <w:t>della società________________________________________</w:t>
      </w:r>
      <w:r w:rsidR="00682098">
        <w:rPr>
          <w:rStyle w:val="Rimandonotadichiusura"/>
          <w:rFonts w:ascii="Titillium Regular Upright" w:hAnsi="Titillium Regular Upright" w:cs="Arial"/>
          <w:sz w:val="20"/>
          <w:szCs w:val="20"/>
        </w:rPr>
        <w:endnoteReference w:id="1"/>
      </w:r>
      <w:r w:rsidRPr="00141892">
        <w:rPr>
          <w:rFonts w:ascii="Titillium Regular Upright" w:hAnsi="Titillium Regular Upright" w:cs="Arial"/>
          <w:sz w:val="20"/>
          <w:szCs w:val="20"/>
        </w:rPr>
        <w:t>_______________________________</w:t>
      </w:r>
    </w:p>
    <w:p w14:paraId="23A863D8" w14:textId="77777777" w:rsidR="00FE701F" w:rsidRPr="00141892" w:rsidRDefault="00FE701F" w:rsidP="00FE701F">
      <w:pPr>
        <w:spacing w:line="360" w:lineRule="auto"/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0E0B1097" w14:textId="77777777" w:rsidR="00FE701F" w:rsidRPr="00141892" w:rsidRDefault="00FE701F" w:rsidP="00FE701F">
      <w:pPr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59883065" w14:textId="77777777" w:rsidR="00FE701F" w:rsidRPr="00141892" w:rsidRDefault="00FE701F" w:rsidP="00FE701F">
      <w:pPr>
        <w:jc w:val="both"/>
        <w:rPr>
          <w:rFonts w:ascii="Titillium Regular Upright" w:hAnsi="Titillium Regular Upright" w:cs="Arial"/>
          <w:sz w:val="20"/>
          <w:szCs w:val="20"/>
        </w:rPr>
      </w:pPr>
    </w:p>
    <w:p w14:paraId="58B56DBA" w14:textId="77777777" w:rsidR="00FE701F" w:rsidRPr="00141892" w:rsidRDefault="00FE701F" w:rsidP="00FE701F">
      <w:pPr>
        <w:jc w:val="center"/>
        <w:rPr>
          <w:rFonts w:ascii="Titillium Regular Upright" w:hAnsi="Titillium Regular Upright" w:cs="Arial"/>
          <w:b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/>
          <w:bCs/>
          <w:sz w:val="20"/>
          <w:szCs w:val="20"/>
        </w:rPr>
        <w:t>DICHIARA</w:t>
      </w:r>
    </w:p>
    <w:p w14:paraId="433F6D02" w14:textId="77777777" w:rsidR="00BA3F79" w:rsidRPr="00141892" w:rsidRDefault="00BA3F79" w:rsidP="00FE701F">
      <w:pPr>
        <w:jc w:val="center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7345C9E7" w14:textId="5DF16BF1" w:rsidR="006F4122" w:rsidRPr="00141892" w:rsidRDefault="00BA3F79" w:rsidP="00FE701F">
      <w:pPr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 xml:space="preserve">- </w:t>
      </w:r>
      <w:r w:rsidR="00280474" w:rsidRPr="00141892">
        <w:rPr>
          <w:rFonts w:ascii="Titillium Regular Upright" w:hAnsi="Titillium Regular Upright" w:cs="Arial"/>
          <w:bCs/>
          <w:sz w:val="20"/>
          <w:szCs w:val="20"/>
        </w:rPr>
        <w:t>ai sensi del</w:t>
      </w:r>
      <w:r w:rsidR="006E78AC" w:rsidRPr="00141892">
        <w:rPr>
          <w:rFonts w:ascii="Titillium Regular Upright" w:hAnsi="Titillium Regular Upright" w:cs="Arial"/>
          <w:bCs/>
          <w:sz w:val="20"/>
          <w:szCs w:val="20"/>
        </w:rPr>
        <w:t>l’art. 85</w:t>
      </w:r>
      <w:r w:rsidR="00F36D9B" w:rsidRPr="00141892">
        <w:rPr>
          <w:rFonts w:ascii="Titillium Regular Upright" w:hAnsi="Titillium Regular Upright" w:cs="Arial"/>
          <w:bCs/>
          <w:sz w:val="20"/>
          <w:szCs w:val="20"/>
        </w:rPr>
        <w:t>, comma 3 del</w:t>
      </w:r>
      <w:r w:rsidR="00280474" w:rsidRPr="00141892">
        <w:rPr>
          <w:rFonts w:ascii="Titillium Regular Upright" w:hAnsi="Titillium Regular Upright" w:cs="Arial"/>
          <w:bCs/>
          <w:sz w:val="20"/>
          <w:szCs w:val="20"/>
        </w:rPr>
        <w:t xml:space="preserve"> </w:t>
      </w:r>
      <w:proofErr w:type="spellStart"/>
      <w:r w:rsidR="00280474" w:rsidRPr="00141892">
        <w:rPr>
          <w:rFonts w:ascii="Titillium Regular Upright" w:hAnsi="Titillium Regular Upright" w:cs="Arial"/>
          <w:bCs/>
          <w:sz w:val="20"/>
          <w:szCs w:val="20"/>
        </w:rPr>
        <w:t>D.Lgs</w:t>
      </w:r>
      <w:proofErr w:type="spellEnd"/>
      <w:r w:rsidR="00280474" w:rsidRPr="00141892">
        <w:rPr>
          <w:rFonts w:ascii="Titillium Regular Upright" w:hAnsi="Titillium Regular Upright" w:cs="Arial"/>
          <w:bCs/>
          <w:sz w:val="20"/>
          <w:szCs w:val="20"/>
        </w:rPr>
        <w:t xml:space="preserve"> 159/2011</w:t>
      </w:r>
      <w:r w:rsidR="006F4122" w:rsidRPr="00141892">
        <w:rPr>
          <w:rFonts w:ascii="Titillium Regular Upright" w:hAnsi="Titillium Regular Upright" w:cs="Arial"/>
          <w:bCs/>
          <w:sz w:val="20"/>
          <w:szCs w:val="20"/>
        </w:rPr>
        <w:t>:</w:t>
      </w:r>
    </w:p>
    <w:p w14:paraId="575F9D80" w14:textId="77777777" w:rsidR="006F4122" w:rsidRPr="00141892" w:rsidRDefault="006F4122" w:rsidP="00FE701F">
      <w:pPr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0A2A17A3" w14:textId="7D955596" w:rsidR="003D2D42" w:rsidRPr="00141892" w:rsidRDefault="00280474" w:rsidP="006F4122">
      <w:pPr>
        <w:numPr>
          <w:ilvl w:val="0"/>
          <w:numId w:val="3"/>
        </w:num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di avere</w:t>
      </w:r>
      <w:r w:rsidR="006F4122" w:rsidRPr="00141892">
        <w:rPr>
          <w:rFonts w:ascii="Titillium Regular Upright" w:hAnsi="Titillium Regular Upright" w:cs="Arial"/>
          <w:bCs/>
          <w:sz w:val="20"/>
          <w:szCs w:val="20"/>
        </w:rPr>
        <w:t xml:space="preserve"> </w:t>
      </w:r>
      <w:r w:rsidR="006F4122" w:rsidRPr="00141892">
        <w:rPr>
          <w:rFonts w:ascii="Titillium Regular Upright" w:hAnsi="Titillium Regular Upright" w:cs="Arial"/>
          <w:bCs/>
          <w:sz w:val="20"/>
          <w:szCs w:val="20"/>
          <w:u w:val="single"/>
        </w:rPr>
        <w:t>attualmente</w:t>
      </w:r>
      <w:r w:rsidRPr="00141892">
        <w:rPr>
          <w:rFonts w:ascii="Titillium Regular Upright" w:hAnsi="Titillium Regular Upright" w:cs="Arial"/>
          <w:bCs/>
          <w:sz w:val="20"/>
          <w:szCs w:val="20"/>
        </w:rPr>
        <w:t xml:space="preserve"> i seguenti familiari conviventi di maggiore e</w:t>
      </w:r>
      <w:r w:rsidR="003D2D42" w:rsidRPr="00141892">
        <w:rPr>
          <w:rFonts w:ascii="Titillium Regular Upright" w:hAnsi="Titillium Regular Upright" w:cs="Arial"/>
          <w:bCs/>
          <w:sz w:val="20"/>
          <w:szCs w:val="20"/>
        </w:rPr>
        <w:t>tà:</w:t>
      </w:r>
    </w:p>
    <w:p w14:paraId="0BD97D6B" w14:textId="77777777" w:rsidR="003D2D42" w:rsidRPr="00141892" w:rsidRDefault="003D2D42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31AD2400" w14:textId="77777777" w:rsidR="003D2D42" w:rsidRPr="00141892" w:rsidRDefault="000B183F" w:rsidP="006F4122">
      <w:pPr>
        <w:spacing w:line="360" w:lineRule="auto"/>
        <w:rPr>
          <w:rFonts w:ascii="Titillium Regular Upright" w:hAnsi="Titillium Regular Upright" w:cs="Arial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 xml:space="preserve">(NOME – COGNOME- DATA E LUOGO DI NASCITA – CODICE </w:t>
      </w:r>
      <w:proofErr w:type="gramStart"/>
      <w:r w:rsidRPr="00141892">
        <w:rPr>
          <w:rFonts w:ascii="Titillium Regular Upright" w:hAnsi="Titillium Regular Upright" w:cs="Arial"/>
          <w:bCs/>
          <w:sz w:val="20"/>
          <w:szCs w:val="20"/>
        </w:rPr>
        <w:t>FISCALE)</w:t>
      </w:r>
      <w:r w:rsidR="00F52BB8" w:rsidRPr="00141892">
        <w:rPr>
          <w:rFonts w:ascii="Titillium Regular Upright" w:hAnsi="Titillium Regular Upright" w:cs="Arial"/>
          <w:bCs/>
          <w:sz w:val="20"/>
          <w:szCs w:val="20"/>
        </w:rPr>
        <w:t>_</w:t>
      </w:r>
      <w:proofErr w:type="gramEnd"/>
      <w:r w:rsidR="00F52BB8" w:rsidRPr="00141892">
        <w:rPr>
          <w:rFonts w:ascii="Titillium Regular Upright" w:hAnsi="Titillium Regular Upright" w:cs="Arial"/>
          <w:bCs/>
          <w:sz w:val="20"/>
          <w:szCs w:val="20"/>
        </w:rPr>
        <w:t>___________</w:t>
      </w:r>
    </w:p>
    <w:p w14:paraId="5A4ADB55" w14:textId="77777777" w:rsidR="003D2D42" w:rsidRPr="00141892" w:rsidRDefault="003D2D42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04CD22BA" w14:textId="77777777" w:rsidR="003D2D42" w:rsidRPr="00141892" w:rsidRDefault="003D2D42" w:rsidP="006F4122">
      <w:pPr>
        <w:spacing w:line="360" w:lineRule="auto"/>
        <w:rPr>
          <w:rFonts w:ascii="Titillium Regular Upright" w:hAnsi="Titillium Regular Upright" w:cs="Arial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</w:t>
      </w:r>
      <w:r w:rsidR="00F52BB8"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</w:t>
      </w:r>
    </w:p>
    <w:p w14:paraId="4CB9DAB0" w14:textId="77777777" w:rsidR="003D2D42" w:rsidRPr="00141892" w:rsidRDefault="003D2D42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110776B8" w14:textId="77777777" w:rsidR="003D2D42" w:rsidRPr="00141892" w:rsidRDefault="003D2D42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</w:t>
      </w:r>
      <w:r w:rsidR="00F52BB8"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</w:t>
      </w:r>
    </w:p>
    <w:p w14:paraId="66623015" w14:textId="77777777" w:rsidR="003D2D42" w:rsidRPr="00141892" w:rsidRDefault="003D2D42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5FDB7B28" w14:textId="77777777" w:rsidR="003D2D42" w:rsidRPr="00141892" w:rsidRDefault="003D2D42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</w:t>
      </w:r>
      <w:r w:rsidR="00F52BB8"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</w:t>
      </w:r>
    </w:p>
    <w:p w14:paraId="02108C18" w14:textId="77777777" w:rsidR="003D2D42" w:rsidRPr="00141892" w:rsidRDefault="003D2D42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4FDB3109" w14:textId="77777777" w:rsidR="003D2D42" w:rsidRPr="00141892" w:rsidRDefault="00901DA5" w:rsidP="006F4122">
      <w:p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</w:t>
      </w:r>
      <w:r w:rsidR="00F52BB8"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</w:t>
      </w:r>
    </w:p>
    <w:p w14:paraId="26F50894" w14:textId="77777777" w:rsidR="006F4122" w:rsidRPr="00141892" w:rsidRDefault="006F4122" w:rsidP="006F4122">
      <w:pPr>
        <w:spacing w:line="360" w:lineRule="auto"/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2156EC3C" w14:textId="195DB422" w:rsidR="006F4122" w:rsidRPr="00141892" w:rsidRDefault="006F4122" w:rsidP="006F4122">
      <w:pPr>
        <w:numPr>
          <w:ilvl w:val="0"/>
          <w:numId w:val="3"/>
        </w:num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 xml:space="preserve">e che, con riferimento </w:t>
      </w:r>
      <w:r w:rsidRPr="00141892">
        <w:rPr>
          <w:rFonts w:ascii="Titillium Regular Upright" w:hAnsi="Titillium Regular Upright" w:cs="Arial"/>
          <w:bCs/>
          <w:sz w:val="20"/>
          <w:szCs w:val="20"/>
          <w:u w:val="single"/>
        </w:rPr>
        <w:t>all’ultimo triennio</w:t>
      </w:r>
      <w:r w:rsidRPr="00141892">
        <w:rPr>
          <w:rFonts w:ascii="Titillium Regular Upright" w:hAnsi="Titillium Regular Upright" w:cs="Arial"/>
          <w:bCs/>
          <w:sz w:val="20"/>
          <w:szCs w:val="20"/>
        </w:rPr>
        <w:t xml:space="preserve"> (</w:t>
      </w:r>
      <w:r w:rsidRPr="00141892">
        <w:rPr>
          <w:rFonts w:ascii="Titillium Regular Upright" w:hAnsi="Titillium Regular Upright" w:cs="Arial"/>
          <w:bCs/>
          <w:i/>
          <w:sz w:val="20"/>
          <w:szCs w:val="20"/>
        </w:rPr>
        <w:t>barrare l’opzione corrispondente alla propria condizione</w:t>
      </w:r>
      <w:r w:rsidRPr="00141892">
        <w:rPr>
          <w:rFonts w:ascii="Titillium Regular Upright" w:hAnsi="Titillium Regular Upright" w:cs="Arial"/>
          <w:bCs/>
          <w:sz w:val="20"/>
          <w:szCs w:val="20"/>
        </w:rPr>
        <w:t>):</w:t>
      </w:r>
    </w:p>
    <w:p w14:paraId="1EB184CD" w14:textId="77777777" w:rsidR="006F4122" w:rsidRPr="00141892" w:rsidRDefault="006F4122" w:rsidP="006F4122">
      <w:pPr>
        <w:numPr>
          <w:ilvl w:val="1"/>
          <w:numId w:val="3"/>
        </w:num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 xml:space="preserve"> la situazione familiare di cui al punto 1) non ha subito modificazioni </w:t>
      </w:r>
    </w:p>
    <w:p w14:paraId="1B407F7F" w14:textId="77777777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1467E882" w14:textId="77777777" w:rsidR="006F4122" w:rsidRPr="00141892" w:rsidRDefault="006F4122" w:rsidP="006F4122">
      <w:pPr>
        <w:numPr>
          <w:ilvl w:val="1"/>
          <w:numId w:val="3"/>
        </w:numPr>
        <w:spacing w:line="360" w:lineRule="auto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i familiari conviventi di maggiore età sono stati i seguenti:</w:t>
      </w:r>
    </w:p>
    <w:p w14:paraId="714F6DA2" w14:textId="77777777" w:rsidR="006F4122" w:rsidRPr="00141892" w:rsidRDefault="006F4122" w:rsidP="006F4122">
      <w:pPr>
        <w:pStyle w:val="Paragrafoelenco"/>
        <w:spacing w:line="360" w:lineRule="auto"/>
        <w:rPr>
          <w:rFonts w:ascii="Titillium Regular Upright" w:hAnsi="Titillium Regular Upright" w:cs="Arial"/>
          <w:bCs/>
          <w:sz w:val="20"/>
          <w:szCs w:val="20"/>
        </w:rPr>
      </w:pPr>
    </w:p>
    <w:p w14:paraId="0F2DD8B7" w14:textId="77777777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  <w:proofErr w:type="gramStart"/>
      <w:r w:rsidRPr="00141892">
        <w:rPr>
          <w:rFonts w:ascii="Titillium Regular Upright" w:hAnsi="Titillium Regular Upright" w:cs="Arial"/>
          <w:bCs/>
          <w:sz w:val="20"/>
          <w:szCs w:val="20"/>
        </w:rPr>
        <w:t>_</w:t>
      </w:r>
      <w:r w:rsidR="000B183F" w:rsidRPr="00141892">
        <w:rPr>
          <w:rFonts w:ascii="Titillium Regular Upright" w:hAnsi="Titillium Regular Upright" w:cs="Arial"/>
          <w:bCs/>
          <w:sz w:val="20"/>
          <w:szCs w:val="20"/>
        </w:rPr>
        <w:t>(</w:t>
      </w:r>
      <w:proofErr w:type="gramEnd"/>
      <w:r w:rsidR="000B183F" w:rsidRPr="00141892">
        <w:rPr>
          <w:rFonts w:ascii="Titillium Regular Upright" w:hAnsi="Titillium Regular Upright" w:cs="Arial"/>
          <w:bCs/>
          <w:sz w:val="20"/>
          <w:szCs w:val="20"/>
        </w:rPr>
        <w:t>NOME – COGNOME- DATA E LUOGO DI NASCITA – CODICE FISCALE)</w:t>
      </w:r>
    </w:p>
    <w:p w14:paraId="6CDF9781" w14:textId="77777777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58C42473" w14:textId="4DF1970C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______________________________________________________________</w:t>
      </w:r>
    </w:p>
    <w:p w14:paraId="77B741E4" w14:textId="77777777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4C67BA2B" w14:textId="2CE17A0D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_______________________________________________________________</w:t>
      </w:r>
    </w:p>
    <w:p w14:paraId="425DE4A7" w14:textId="77777777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2719BD20" w14:textId="52B78733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______________________________________________________________</w:t>
      </w:r>
    </w:p>
    <w:p w14:paraId="21794207" w14:textId="77777777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</w:p>
    <w:p w14:paraId="43E6D25F" w14:textId="1B8FD946" w:rsidR="006F4122" w:rsidRPr="00141892" w:rsidRDefault="006F4122" w:rsidP="006F4122">
      <w:pPr>
        <w:spacing w:line="360" w:lineRule="auto"/>
        <w:ind w:left="1080"/>
        <w:jc w:val="both"/>
        <w:rPr>
          <w:rFonts w:ascii="Titillium Regular Upright" w:hAnsi="Titillium Regular Upright" w:cs="Arial"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bCs/>
          <w:sz w:val="20"/>
          <w:szCs w:val="20"/>
        </w:rPr>
        <w:t>______________________________________________________________</w:t>
      </w:r>
    </w:p>
    <w:p w14:paraId="2050DC56" w14:textId="5921A3E9" w:rsidR="00197F70" w:rsidRPr="00141892" w:rsidRDefault="00197F70" w:rsidP="00FE701F">
      <w:pPr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7A9A0539" w14:textId="01C744E9" w:rsidR="00197F70" w:rsidRPr="00141892" w:rsidRDefault="00197F70" w:rsidP="00FE701F">
      <w:pPr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54AB5305" w14:textId="4B9CBF62" w:rsidR="00197F70" w:rsidRPr="00141892" w:rsidRDefault="00197F70" w:rsidP="00FE701F">
      <w:pPr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55215792" w14:textId="77777777" w:rsidR="00197F70" w:rsidRPr="00141892" w:rsidRDefault="00197F70" w:rsidP="00197F70">
      <w:pPr>
        <w:jc w:val="both"/>
        <w:rPr>
          <w:rFonts w:ascii="Titillium Regular Upright" w:hAnsi="Titillium Regular Upright" w:cs="Arial"/>
          <w:b/>
          <w:bCs/>
          <w:sz w:val="22"/>
          <w:szCs w:val="22"/>
        </w:rPr>
      </w:pPr>
      <w:r w:rsidRPr="00141892">
        <w:rPr>
          <w:rFonts w:ascii="Titillium Regular Upright" w:hAnsi="Titillium Regular Upright" w:cs="Arial"/>
          <w:b/>
          <w:bCs/>
          <w:sz w:val="22"/>
          <w:szCs w:val="22"/>
        </w:rPr>
        <w:t>______________________                         ______________________________________________</w:t>
      </w:r>
    </w:p>
    <w:p w14:paraId="7B295A25" w14:textId="77777777" w:rsidR="00197F70" w:rsidRPr="00141892" w:rsidRDefault="00197F70" w:rsidP="00197F70">
      <w:pPr>
        <w:jc w:val="both"/>
        <w:rPr>
          <w:rFonts w:ascii="Titillium Regular Upright" w:hAnsi="Titillium Regular Upright" w:cs="Arial"/>
          <w:sz w:val="22"/>
          <w:szCs w:val="22"/>
        </w:rPr>
      </w:pPr>
      <w:r w:rsidRPr="00141892">
        <w:rPr>
          <w:rFonts w:ascii="Titillium Regular Upright" w:hAnsi="Titillium Regular Upright" w:cs="Arial"/>
          <w:sz w:val="22"/>
          <w:szCs w:val="22"/>
        </w:rPr>
        <w:t xml:space="preserve">             data                  </w:t>
      </w:r>
    </w:p>
    <w:p w14:paraId="7C744309" w14:textId="13FBD9D7" w:rsidR="00197F70" w:rsidRPr="00141892" w:rsidRDefault="00197F70" w:rsidP="00197F70">
      <w:pPr>
        <w:jc w:val="both"/>
        <w:rPr>
          <w:rFonts w:ascii="Titillium Regular Upright" w:hAnsi="Titillium Regular Upright" w:cs="Arial"/>
          <w:sz w:val="22"/>
          <w:szCs w:val="22"/>
        </w:rPr>
      </w:pPr>
      <w:r w:rsidRPr="00141892">
        <w:rPr>
          <w:rFonts w:ascii="Titillium Regular Upright" w:hAnsi="Titillium Regular Upright" w:cs="Arial"/>
          <w:sz w:val="22"/>
          <w:szCs w:val="22"/>
        </w:rPr>
        <w:t xml:space="preserve">                                                </w:t>
      </w:r>
      <w:r w:rsidRPr="00141892">
        <w:rPr>
          <w:rFonts w:ascii="Titillium Regular Upright" w:hAnsi="Titillium Regular Upright" w:cs="Arial"/>
          <w:sz w:val="22"/>
          <w:szCs w:val="22"/>
        </w:rPr>
        <w:tab/>
      </w:r>
      <w:r w:rsidRPr="00141892">
        <w:rPr>
          <w:rFonts w:ascii="Titillium Regular Upright" w:hAnsi="Titillium Regular Upright" w:cs="Arial"/>
          <w:sz w:val="22"/>
          <w:szCs w:val="22"/>
        </w:rPr>
        <w:tab/>
      </w:r>
      <w:r w:rsidRPr="00141892">
        <w:rPr>
          <w:rFonts w:ascii="Titillium Regular Upright" w:hAnsi="Titillium Regular Upright" w:cs="Arial"/>
          <w:sz w:val="22"/>
          <w:szCs w:val="22"/>
        </w:rPr>
        <w:tab/>
      </w:r>
      <w:r w:rsidRPr="00141892">
        <w:rPr>
          <w:rFonts w:ascii="Titillium Regular Upright" w:hAnsi="Titillium Regular Upright" w:cs="Arial"/>
          <w:sz w:val="22"/>
          <w:szCs w:val="22"/>
        </w:rPr>
        <w:tab/>
        <w:t xml:space="preserve">firma del </w:t>
      </w:r>
      <w:proofErr w:type="gramStart"/>
      <w:r w:rsidRPr="00141892">
        <w:rPr>
          <w:rFonts w:ascii="Titillium Regular Upright" w:hAnsi="Titillium Regular Upright" w:cs="Arial"/>
          <w:sz w:val="22"/>
          <w:szCs w:val="22"/>
        </w:rPr>
        <w:t>dichiarante(</w:t>
      </w:r>
      <w:proofErr w:type="gramEnd"/>
      <w:r w:rsidR="00682098">
        <w:rPr>
          <w:rStyle w:val="Rimandonotadichiusura"/>
          <w:rFonts w:ascii="Titillium Regular Upright" w:hAnsi="Titillium Regular Upright" w:cs="Arial"/>
          <w:sz w:val="22"/>
          <w:szCs w:val="22"/>
        </w:rPr>
        <w:endnoteReference w:id="2"/>
      </w:r>
      <w:r w:rsidRPr="00141892">
        <w:rPr>
          <w:rFonts w:ascii="Titillium Regular Upright" w:hAnsi="Titillium Regular Upright" w:cs="Arial"/>
          <w:sz w:val="22"/>
          <w:szCs w:val="22"/>
        </w:rPr>
        <w:t xml:space="preserve">)                  </w:t>
      </w:r>
    </w:p>
    <w:p w14:paraId="133CAB61" w14:textId="77777777" w:rsidR="00197F70" w:rsidRPr="00141892" w:rsidRDefault="00197F70" w:rsidP="00197F70">
      <w:pPr>
        <w:jc w:val="both"/>
        <w:rPr>
          <w:rFonts w:ascii="Titillium Regular Upright" w:hAnsi="Titillium Regular Upright" w:cs="Arial"/>
          <w:sz w:val="22"/>
          <w:szCs w:val="22"/>
        </w:rPr>
      </w:pPr>
    </w:p>
    <w:p w14:paraId="5766F7E7" w14:textId="77777777" w:rsidR="00197F70" w:rsidRPr="00141892" w:rsidRDefault="00197F70" w:rsidP="00FE701F">
      <w:pPr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</w:p>
    <w:p w14:paraId="19EE77CD" w14:textId="77777777" w:rsidR="00197F70" w:rsidRPr="00141892" w:rsidRDefault="00197F70" w:rsidP="00197F70">
      <w:pPr>
        <w:jc w:val="both"/>
        <w:rPr>
          <w:rFonts w:ascii="Titillium Regular Upright" w:hAnsi="Titillium Regular Upright" w:cs="Arial"/>
          <w:sz w:val="22"/>
          <w:szCs w:val="22"/>
        </w:rPr>
      </w:pPr>
    </w:p>
    <w:p w14:paraId="6C76B808" w14:textId="77777777" w:rsidR="00197F70" w:rsidRPr="00141892" w:rsidRDefault="00197F70" w:rsidP="00197F70">
      <w:pPr>
        <w:autoSpaceDE w:val="0"/>
        <w:autoSpaceDN w:val="0"/>
        <w:adjustRightInd w:val="0"/>
        <w:jc w:val="both"/>
        <w:rPr>
          <w:rFonts w:ascii="Titillium Regular Upright" w:hAnsi="Titillium Regular Upright"/>
          <w:sz w:val="16"/>
          <w:szCs w:val="16"/>
        </w:rPr>
      </w:pPr>
    </w:p>
    <w:p w14:paraId="217EEC77" w14:textId="77777777" w:rsidR="00197F70" w:rsidRPr="00141892" w:rsidRDefault="00197F70" w:rsidP="00197F70">
      <w:pPr>
        <w:numPr>
          <w:ilvl w:val="3"/>
          <w:numId w:val="4"/>
        </w:numPr>
        <w:tabs>
          <w:tab w:val="left" w:pos="-851"/>
        </w:tabs>
        <w:ind w:left="709" w:right="-1" w:hanging="567"/>
        <w:jc w:val="both"/>
        <w:rPr>
          <w:rFonts w:ascii="Titillium Regular Upright" w:hAnsi="Titillium Regular Upright"/>
          <w:sz w:val="16"/>
          <w:szCs w:val="16"/>
        </w:rPr>
      </w:pPr>
      <w:bookmarkStart w:id="1" w:name="_Toc393476565"/>
      <w:bookmarkStart w:id="2" w:name="_Toc501101156"/>
      <w:r w:rsidRPr="00141892">
        <w:rPr>
          <w:rFonts w:ascii="Titillium Regular Upright" w:hAnsi="Titillium Regular Upright"/>
          <w:sz w:val="16"/>
          <w:szCs w:val="16"/>
        </w:rPr>
        <w:t>Informativa ai sensi dell’articolo 13 del Regolamento (UE) 679/2016 recante norme sul trattamento dei dati personali.</w:t>
      </w:r>
    </w:p>
    <w:p w14:paraId="1D4257E4" w14:textId="77777777" w:rsidR="00197F70" w:rsidRPr="00141892" w:rsidRDefault="00197F70" w:rsidP="00197F70">
      <w:pPr>
        <w:tabs>
          <w:tab w:val="left" w:pos="-851"/>
        </w:tabs>
        <w:ind w:right="-1"/>
        <w:jc w:val="both"/>
        <w:rPr>
          <w:rFonts w:ascii="Titillium Regular Upright" w:hAnsi="Titillium Regular Upright"/>
          <w:sz w:val="16"/>
          <w:szCs w:val="16"/>
        </w:rPr>
      </w:pPr>
      <w:r w:rsidRPr="00141892">
        <w:rPr>
          <w:rFonts w:ascii="Titillium Regular Upright" w:hAnsi="Titillium Regular Upright"/>
          <w:sz w:val="16"/>
          <w:szCs w:val="16"/>
        </w:rPr>
        <w:t xml:space="preserve">I dati raccolti con il presente modulo sono trattati ai fini del procedimento per il quale vengono rilasciati e verranno utilizzati esclusivamente per tale scopo e, comunque, nell’ambito delle attività istituzionali dell’Università degli Studi di Napoli Federico II. All’interessato competono i diritti di cui agli artt. 15-22 del Regolamento Ue. </w:t>
      </w:r>
    </w:p>
    <w:p w14:paraId="15328452" w14:textId="77777777" w:rsidR="00197F70" w:rsidRPr="00141892" w:rsidRDefault="00197F70" w:rsidP="00197F70">
      <w:pPr>
        <w:tabs>
          <w:tab w:val="left" w:pos="-851"/>
        </w:tabs>
        <w:ind w:right="-1"/>
        <w:jc w:val="both"/>
        <w:rPr>
          <w:rFonts w:ascii="Titillium Regular Upright" w:hAnsi="Titillium Regular Upright"/>
          <w:sz w:val="16"/>
          <w:szCs w:val="16"/>
        </w:rPr>
      </w:pPr>
      <w:r w:rsidRPr="00141892">
        <w:rPr>
          <w:rFonts w:ascii="Titillium Regular Upright" w:hAnsi="Titillium Regular Upright"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9" w:history="1">
        <w:r w:rsidRPr="00141892">
          <w:rPr>
            <w:rStyle w:val="Collegamentoipertestuale"/>
            <w:rFonts w:ascii="Titillium Regular Upright" w:hAnsi="Titillium Regular Upright"/>
            <w:sz w:val="16"/>
            <w:szCs w:val="16"/>
          </w:rPr>
          <w:t>ateneo@pec.unina.it</w:t>
        </w:r>
      </w:hyperlink>
      <w:r w:rsidRPr="00141892">
        <w:rPr>
          <w:rFonts w:ascii="Titillium Regular Upright" w:hAnsi="Titillium Regular Upright"/>
          <w:sz w:val="16"/>
          <w:szCs w:val="16"/>
        </w:rPr>
        <w:t xml:space="preserve">; oppure al Responsabile della Protezione dei Dati: </w:t>
      </w:r>
      <w:hyperlink r:id="rId10" w:history="1">
        <w:r w:rsidRPr="00141892">
          <w:rPr>
            <w:rStyle w:val="Collegamentoipertestuale"/>
            <w:rFonts w:ascii="Titillium Regular Upright" w:hAnsi="Titillium Regular Upright"/>
            <w:sz w:val="16"/>
            <w:szCs w:val="16"/>
          </w:rPr>
          <w:t>rdp@unina.it</w:t>
        </w:r>
      </w:hyperlink>
      <w:r w:rsidRPr="00141892">
        <w:rPr>
          <w:rFonts w:ascii="Titillium Regular Upright" w:hAnsi="Titillium Regular Upright"/>
          <w:sz w:val="16"/>
          <w:szCs w:val="16"/>
        </w:rPr>
        <w:t xml:space="preserve"> ; PEC </w:t>
      </w:r>
      <w:hyperlink r:id="rId11" w:history="1">
        <w:r w:rsidRPr="00141892">
          <w:rPr>
            <w:rStyle w:val="Collegamentoipertestuale"/>
            <w:rFonts w:ascii="Titillium Regular Upright" w:hAnsi="Titillium Regular Upright"/>
            <w:sz w:val="16"/>
            <w:szCs w:val="16"/>
          </w:rPr>
          <w:t>rdp@pec.unina.it</w:t>
        </w:r>
      </w:hyperlink>
      <w:r w:rsidRPr="00141892">
        <w:rPr>
          <w:rFonts w:ascii="Titillium Regular Upright" w:hAnsi="Titillium Regular Upright"/>
          <w:sz w:val="16"/>
          <w:szCs w:val="16"/>
        </w:rPr>
        <w:t xml:space="preserve"> </w:t>
      </w:r>
    </w:p>
    <w:p w14:paraId="03C6B5DE" w14:textId="1618180D" w:rsidR="006F4122" w:rsidRPr="00682098" w:rsidRDefault="00197F70" w:rsidP="00682098">
      <w:pPr>
        <w:tabs>
          <w:tab w:val="left" w:pos="-851"/>
        </w:tabs>
        <w:ind w:right="-1"/>
        <w:jc w:val="both"/>
        <w:rPr>
          <w:rFonts w:ascii="Titillium Regular Upright" w:hAnsi="Titillium Regular Upright"/>
          <w:sz w:val="16"/>
          <w:szCs w:val="16"/>
        </w:rPr>
      </w:pPr>
      <w:r w:rsidRPr="00141892">
        <w:rPr>
          <w:rFonts w:ascii="Titillium Regular Upright" w:hAnsi="Titillium Regular Upright"/>
          <w:sz w:val="16"/>
          <w:szCs w:val="16"/>
        </w:rPr>
        <w:t xml:space="preserve">Le informazioni complete relative al trattamento dei dati personali raccolti, sono riportate sul sito dell’Ateneo: </w:t>
      </w:r>
      <w:hyperlink r:id="rId12" w:history="1">
        <w:r w:rsidRPr="00141892">
          <w:rPr>
            <w:rStyle w:val="Collegamentoipertestuale"/>
            <w:rFonts w:ascii="Titillium Regular Upright" w:hAnsi="Titillium Regular Upright"/>
            <w:sz w:val="16"/>
            <w:szCs w:val="16"/>
          </w:rPr>
          <w:t>http://www.unina.it/ateneo/statuto-e-normativa/privacy</w:t>
        </w:r>
      </w:hyperlink>
      <w:r w:rsidRPr="00141892">
        <w:rPr>
          <w:rFonts w:ascii="Titillium Regular Upright" w:hAnsi="Titillium Regular Upright"/>
          <w:sz w:val="16"/>
          <w:szCs w:val="16"/>
        </w:rPr>
        <w:t xml:space="preserve">. </w:t>
      </w:r>
      <w:bookmarkEnd w:id="1"/>
      <w:bookmarkEnd w:id="2"/>
      <w:r w:rsidR="000546D1" w:rsidRPr="00141892">
        <w:rPr>
          <w:rFonts w:ascii="Titillium Regular Upright" w:hAnsi="Titillium Regular Upright"/>
        </w:rPr>
        <w:t xml:space="preserve">                             </w:t>
      </w:r>
      <w:bookmarkStart w:id="3" w:name="_GoBack"/>
      <w:bookmarkEnd w:id="3"/>
      <w:r w:rsidR="000546D1" w:rsidRPr="00141892">
        <w:rPr>
          <w:rFonts w:ascii="Titillium Regular Upright" w:hAnsi="Titillium Regular Upright"/>
          <w:b/>
        </w:rPr>
        <w:tab/>
      </w:r>
      <w:r w:rsidR="000546D1" w:rsidRPr="00141892">
        <w:rPr>
          <w:rFonts w:ascii="Titillium Regular Upright" w:hAnsi="Titillium Regular Upright"/>
          <w:b/>
        </w:rPr>
        <w:tab/>
        <w:t xml:space="preserve"> </w:t>
      </w:r>
    </w:p>
    <w:p w14:paraId="793BB79F" w14:textId="77777777" w:rsidR="00FE701F" w:rsidRPr="00141892" w:rsidRDefault="00FE701F" w:rsidP="00FE701F">
      <w:pPr>
        <w:jc w:val="both"/>
        <w:rPr>
          <w:rFonts w:ascii="Titillium Regular Upright" w:hAnsi="Titillium Regular Upright" w:cs="Arial"/>
          <w:b/>
          <w:bCs/>
          <w:sz w:val="20"/>
          <w:szCs w:val="20"/>
        </w:rPr>
      </w:pPr>
      <w:r w:rsidRPr="00141892">
        <w:rPr>
          <w:rFonts w:ascii="Titillium Regular Upright" w:hAnsi="Titillium Regular Upright" w:cs="Arial"/>
          <w:sz w:val="20"/>
          <w:szCs w:val="20"/>
        </w:rPr>
        <w:t xml:space="preserve">                                                                 </w:t>
      </w:r>
    </w:p>
    <w:sectPr w:rsidR="00FE701F" w:rsidRPr="00141892" w:rsidSect="00DB2248">
      <w:footerReference w:type="defaul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3BB7" w14:textId="77777777" w:rsidR="00E51E37" w:rsidRDefault="00E51E37">
      <w:r>
        <w:separator/>
      </w:r>
    </w:p>
  </w:endnote>
  <w:endnote w:type="continuationSeparator" w:id="0">
    <w:p w14:paraId="373E78F8" w14:textId="77777777" w:rsidR="00E51E37" w:rsidRDefault="00E51E37">
      <w:r>
        <w:continuationSeparator/>
      </w:r>
    </w:p>
  </w:endnote>
  <w:endnote w:id="1">
    <w:p w14:paraId="4AF574F6" w14:textId="077FF8A0" w:rsidR="00682098" w:rsidRDefault="00682098" w:rsidP="00682098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 xml:space="preserve">per "familiari conviventi" si intende "chiunque convive" con i soggetti di cui all'art. 85 del </w:t>
      </w:r>
      <w:proofErr w:type="spellStart"/>
      <w:r>
        <w:t>D.Lgs.</w:t>
      </w:r>
      <w:proofErr w:type="spellEnd"/>
      <w:r>
        <w:t xml:space="preserve"> 159/2011.</w:t>
      </w:r>
    </w:p>
  </w:endnote>
  <w:endnote w:id="2">
    <w:p w14:paraId="3FE0D87C" w14:textId="1816CC70" w:rsidR="00682098" w:rsidRDefault="00682098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682098">
        <w:t xml:space="preserve">L'autodichiarazione deve essere redatta da tutti i soggetti di cui all'art. 85 del </w:t>
      </w:r>
      <w:proofErr w:type="spellStart"/>
      <w:r w:rsidRPr="00682098">
        <w:t>D.Lgs.</w:t>
      </w:r>
      <w:proofErr w:type="spellEnd"/>
      <w:r w:rsidRPr="00682098">
        <w:t xml:space="preserve"> 159/2011.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Regular Upright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55EA" w14:textId="77777777" w:rsidR="007E3553" w:rsidRPr="006F4122" w:rsidRDefault="007E3553" w:rsidP="00DB2248">
    <w:pPr>
      <w:jc w:val="both"/>
      <w:rPr>
        <w:rFonts w:ascii="Arial" w:hAnsi="Arial" w:cs="Arial"/>
        <w:sz w:val="20"/>
        <w:szCs w:val="20"/>
      </w:rPr>
    </w:pPr>
    <w:r w:rsidRPr="006F4122">
      <w:rPr>
        <w:rFonts w:ascii="Arial" w:hAnsi="Arial" w:cs="Arial"/>
        <w:sz w:val="20"/>
        <w:szCs w:val="20"/>
      </w:rPr>
      <w:t xml:space="preserve"> </w:t>
    </w:r>
  </w:p>
  <w:p w14:paraId="4C74DFDA" w14:textId="77777777" w:rsidR="007E3553" w:rsidRPr="006F4122" w:rsidRDefault="007E3553" w:rsidP="00DB2248">
    <w:pPr>
      <w:jc w:val="both"/>
      <w:rPr>
        <w:rFonts w:ascii="Arial" w:hAnsi="Arial" w:cs="Arial"/>
        <w:sz w:val="20"/>
        <w:szCs w:val="20"/>
      </w:rPr>
    </w:pPr>
    <w:r w:rsidRPr="006F4122">
      <w:rPr>
        <w:rFonts w:ascii="Arial" w:hAnsi="Arial" w:cs="Arial"/>
        <w:sz w:val="20"/>
        <w:szCs w:val="20"/>
      </w:rPr>
      <w:t xml:space="preserve"> (*) La dichiarazione sostitutiva va redatta da tutti i soggetti di cui all’art. 85 del </w:t>
    </w:r>
    <w:proofErr w:type="spellStart"/>
    <w:r w:rsidRPr="006F4122">
      <w:rPr>
        <w:rFonts w:ascii="Arial" w:hAnsi="Arial" w:cs="Arial"/>
        <w:sz w:val="20"/>
        <w:szCs w:val="20"/>
      </w:rPr>
      <w:t>D.Lgs</w:t>
    </w:r>
    <w:proofErr w:type="spellEnd"/>
    <w:r w:rsidRPr="006F4122">
      <w:rPr>
        <w:rFonts w:ascii="Arial" w:hAnsi="Arial" w:cs="Arial"/>
        <w:sz w:val="20"/>
        <w:szCs w:val="20"/>
      </w:rPr>
      <w:t xml:space="preserve"> 159/2011.  </w:t>
    </w:r>
  </w:p>
  <w:p w14:paraId="3ABC92F9" w14:textId="77777777" w:rsidR="007E3553" w:rsidRPr="006F4122" w:rsidRDefault="007E3553" w:rsidP="00DB2248">
    <w:pPr>
      <w:jc w:val="both"/>
      <w:rPr>
        <w:rFonts w:ascii="Arial" w:hAnsi="Arial" w:cs="Arial"/>
        <w:b/>
        <w:bCs/>
        <w:color w:val="999999"/>
        <w:sz w:val="20"/>
        <w:szCs w:val="20"/>
      </w:rPr>
    </w:pPr>
    <w:r w:rsidRPr="006F4122">
      <w:rPr>
        <w:rFonts w:ascii="Arial" w:hAnsi="Arial" w:cs="Arial"/>
        <w:sz w:val="20"/>
        <w:szCs w:val="20"/>
      </w:rPr>
      <w:t>(**) Per “</w:t>
    </w:r>
    <w:r w:rsidRPr="006F4122">
      <w:rPr>
        <w:rFonts w:ascii="Arial" w:hAnsi="Arial" w:cs="Arial"/>
        <w:b/>
        <w:sz w:val="20"/>
        <w:szCs w:val="20"/>
      </w:rPr>
      <w:t>familiari conviventi</w:t>
    </w:r>
    <w:r w:rsidRPr="006F4122">
      <w:rPr>
        <w:rFonts w:ascii="Arial" w:hAnsi="Arial" w:cs="Arial"/>
        <w:sz w:val="20"/>
        <w:szCs w:val="20"/>
      </w:rPr>
      <w:t>” si intendono “</w:t>
    </w:r>
    <w:r w:rsidRPr="006F4122">
      <w:rPr>
        <w:rFonts w:ascii="Arial" w:hAnsi="Arial" w:cs="Arial"/>
        <w:b/>
        <w:sz w:val="20"/>
        <w:szCs w:val="20"/>
      </w:rPr>
      <w:t>chiunque conviva</w:t>
    </w:r>
    <w:r w:rsidRPr="006F4122">
      <w:rPr>
        <w:rFonts w:ascii="Arial" w:hAnsi="Arial" w:cs="Arial"/>
        <w:sz w:val="20"/>
        <w:szCs w:val="20"/>
      </w:rPr>
      <w:t xml:space="preserve">” con i soggetti di cui all’art. 85 del </w:t>
    </w:r>
    <w:proofErr w:type="spellStart"/>
    <w:r w:rsidRPr="006F4122">
      <w:rPr>
        <w:rFonts w:ascii="Arial" w:hAnsi="Arial" w:cs="Arial"/>
        <w:sz w:val="20"/>
        <w:szCs w:val="20"/>
      </w:rPr>
      <w:t>D.Lgs</w:t>
    </w:r>
    <w:proofErr w:type="spellEnd"/>
    <w:r w:rsidRPr="006F4122">
      <w:rPr>
        <w:rFonts w:ascii="Arial" w:hAnsi="Arial" w:cs="Arial"/>
        <w:sz w:val="20"/>
        <w:szCs w:val="20"/>
      </w:rPr>
      <w:t xml:space="preserve"> 159/2011</w:t>
    </w:r>
  </w:p>
  <w:p w14:paraId="6F5F400F" w14:textId="77777777" w:rsidR="007E3553" w:rsidRPr="00073DF5" w:rsidRDefault="007E3553" w:rsidP="00113796">
    <w:pPr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BF9D" w14:textId="77777777" w:rsidR="00E51E37" w:rsidRDefault="00E51E37">
      <w:r>
        <w:separator/>
      </w:r>
    </w:p>
  </w:footnote>
  <w:footnote w:type="continuationSeparator" w:id="0">
    <w:p w14:paraId="732187CF" w14:textId="77777777" w:rsidR="00E51E37" w:rsidRDefault="00E5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7D1"/>
    <w:multiLevelType w:val="hybridMultilevel"/>
    <w:tmpl w:val="7D3E3BD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44B6E"/>
    <w:multiLevelType w:val="hybridMultilevel"/>
    <w:tmpl w:val="187E087C"/>
    <w:lvl w:ilvl="0" w:tplc="0410000F">
      <w:start w:val="14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1F"/>
    <w:rsid w:val="000301B2"/>
    <w:rsid w:val="000546D1"/>
    <w:rsid w:val="00073DF5"/>
    <w:rsid w:val="000830D5"/>
    <w:rsid w:val="000B183F"/>
    <w:rsid w:val="001106FF"/>
    <w:rsid w:val="00113796"/>
    <w:rsid w:val="001268EA"/>
    <w:rsid w:val="00133732"/>
    <w:rsid w:val="00141892"/>
    <w:rsid w:val="001472C6"/>
    <w:rsid w:val="00152483"/>
    <w:rsid w:val="00160225"/>
    <w:rsid w:val="001709CA"/>
    <w:rsid w:val="00174272"/>
    <w:rsid w:val="00197F70"/>
    <w:rsid w:val="001C74FF"/>
    <w:rsid w:val="002264F7"/>
    <w:rsid w:val="002345A0"/>
    <w:rsid w:val="00260AE3"/>
    <w:rsid w:val="00262875"/>
    <w:rsid w:val="00280474"/>
    <w:rsid w:val="002E582F"/>
    <w:rsid w:val="002F4A1E"/>
    <w:rsid w:val="00314399"/>
    <w:rsid w:val="003178A2"/>
    <w:rsid w:val="00341826"/>
    <w:rsid w:val="00347870"/>
    <w:rsid w:val="00377371"/>
    <w:rsid w:val="003D2D42"/>
    <w:rsid w:val="003E4037"/>
    <w:rsid w:val="003F479E"/>
    <w:rsid w:val="003F4F9C"/>
    <w:rsid w:val="00404DAC"/>
    <w:rsid w:val="00427563"/>
    <w:rsid w:val="0046325D"/>
    <w:rsid w:val="00475F5C"/>
    <w:rsid w:val="004B2413"/>
    <w:rsid w:val="004E64E8"/>
    <w:rsid w:val="0050217C"/>
    <w:rsid w:val="00551B29"/>
    <w:rsid w:val="00570496"/>
    <w:rsid w:val="005A3F6E"/>
    <w:rsid w:val="005A7E9B"/>
    <w:rsid w:val="005D177A"/>
    <w:rsid w:val="00682098"/>
    <w:rsid w:val="006973E3"/>
    <w:rsid w:val="006C64ED"/>
    <w:rsid w:val="006C6AD7"/>
    <w:rsid w:val="006D5FD7"/>
    <w:rsid w:val="006E78AC"/>
    <w:rsid w:val="006F34D7"/>
    <w:rsid w:val="006F4122"/>
    <w:rsid w:val="00710C8D"/>
    <w:rsid w:val="00720319"/>
    <w:rsid w:val="007D4F4B"/>
    <w:rsid w:val="007E0CB8"/>
    <w:rsid w:val="007E3553"/>
    <w:rsid w:val="007E62FD"/>
    <w:rsid w:val="00806A89"/>
    <w:rsid w:val="0086332F"/>
    <w:rsid w:val="0087770D"/>
    <w:rsid w:val="008A4107"/>
    <w:rsid w:val="008B118D"/>
    <w:rsid w:val="00901DA5"/>
    <w:rsid w:val="00905B84"/>
    <w:rsid w:val="0094124D"/>
    <w:rsid w:val="009423CD"/>
    <w:rsid w:val="0099141D"/>
    <w:rsid w:val="00994277"/>
    <w:rsid w:val="00995F1A"/>
    <w:rsid w:val="009B444D"/>
    <w:rsid w:val="00A06AAD"/>
    <w:rsid w:val="00A244B1"/>
    <w:rsid w:val="00A274BE"/>
    <w:rsid w:val="00A3648D"/>
    <w:rsid w:val="00A41032"/>
    <w:rsid w:val="00A4406F"/>
    <w:rsid w:val="00A5777C"/>
    <w:rsid w:val="00A82FA3"/>
    <w:rsid w:val="00A96B9F"/>
    <w:rsid w:val="00AA7371"/>
    <w:rsid w:val="00AB0A73"/>
    <w:rsid w:val="00AC4A63"/>
    <w:rsid w:val="00AF730E"/>
    <w:rsid w:val="00B469E0"/>
    <w:rsid w:val="00B502E3"/>
    <w:rsid w:val="00BA3182"/>
    <w:rsid w:val="00BA3F79"/>
    <w:rsid w:val="00C31574"/>
    <w:rsid w:val="00C34A19"/>
    <w:rsid w:val="00C76047"/>
    <w:rsid w:val="00CD0A9E"/>
    <w:rsid w:val="00CD2D28"/>
    <w:rsid w:val="00CF0ECC"/>
    <w:rsid w:val="00D15C8C"/>
    <w:rsid w:val="00D56492"/>
    <w:rsid w:val="00D5725F"/>
    <w:rsid w:val="00D60F60"/>
    <w:rsid w:val="00D67FC9"/>
    <w:rsid w:val="00DB2248"/>
    <w:rsid w:val="00E429D4"/>
    <w:rsid w:val="00E456F2"/>
    <w:rsid w:val="00E51E37"/>
    <w:rsid w:val="00E6332F"/>
    <w:rsid w:val="00E66B45"/>
    <w:rsid w:val="00E8726D"/>
    <w:rsid w:val="00E93F11"/>
    <w:rsid w:val="00EA74DC"/>
    <w:rsid w:val="00EA7911"/>
    <w:rsid w:val="00EC443D"/>
    <w:rsid w:val="00F33273"/>
    <w:rsid w:val="00F36D9B"/>
    <w:rsid w:val="00F442ED"/>
    <w:rsid w:val="00F52BB8"/>
    <w:rsid w:val="00F80326"/>
    <w:rsid w:val="00F8530A"/>
    <w:rsid w:val="00F8762E"/>
    <w:rsid w:val="00FD0F35"/>
    <w:rsid w:val="00FD5BFA"/>
    <w:rsid w:val="00FE701F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31392"/>
  <w15:chartTrackingRefBased/>
  <w15:docId w15:val="{252CEAFD-485C-4B34-B002-578CD03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701F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122"/>
    <w:pPr>
      <w:ind w:left="708"/>
    </w:pPr>
  </w:style>
  <w:style w:type="character" w:customStyle="1" w:styleId="IntestazioneCarattere">
    <w:name w:val="Intestazione Carattere"/>
    <w:link w:val="Intestazione"/>
    <w:locked/>
    <w:rsid w:val="00806A89"/>
    <w:rPr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197F70"/>
    <w:rPr>
      <w:color w:val="0563C1"/>
      <w:u w:val="single"/>
    </w:rPr>
  </w:style>
  <w:style w:type="paragraph" w:customStyle="1" w:styleId="Default">
    <w:name w:val="Default"/>
    <w:rsid w:val="007D4F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8209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82098"/>
    <w:rPr>
      <w:lang w:val="it-IT" w:eastAsia="it-IT"/>
    </w:rPr>
  </w:style>
  <w:style w:type="character" w:styleId="Rimandonotadichiusura">
    <w:name w:val="endnote reference"/>
    <w:basedOn w:val="Carpredefinitoparagrafo"/>
    <w:rsid w:val="00682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p@pec.unin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dp@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neo@pec.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cp:lastModifiedBy>Utente di Microsoft Office</cp:lastModifiedBy>
  <cp:revision>6</cp:revision>
  <cp:lastPrinted>2013-05-15T15:16:00Z</cp:lastPrinted>
  <dcterms:created xsi:type="dcterms:W3CDTF">2023-02-22T16:19:00Z</dcterms:created>
  <dcterms:modified xsi:type="dcterms:W3CDTF">2023-03-01T15:51:00Z</dcterms:modified>
</cp:coreProperties>
</file>