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88" w:rsidRDefault="005C5C88">
      <w:pPr>
        <w:widowControl w:val="0"/>
        <w:spacing w:after="0"/>
        <w:rPr>
          <w:rFonts w:ascii="Montserrat" w:eastAsia="Montserrat" w:hAnsi="Montserrat" w:cs="Montserrat"/>
          <w:color w:val="1D1D1F"/>
          <w:sz w:val="20"/>
          <w:szCs w:val="20"/>
        </w:rPr>
      </w:pPr>
    </w:p>
    <w:tbl>
      <w:tblPr>
        <w:tblStyle w:val="a3"/>
        <w:tblW w:w="10920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709"/>
        <w:gridCol w:w="1276"/>
        <w:gridCol w:w="5109"/>
        <w:gridCol w:w="1215"/>
        <w:gridCol w:w="1440"/>
        <w:gridCol w:w="1171"/>
      </w:tblGrid>
      <w:tr w:rsidR="005C5C88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  <w:t>Codice Articolo</w:t>
            </w:r>
          </w:p>
        </w:tc>
        <w:tc>
          <w:tcPr>
            <w:tcW w:w="5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  <w:t>Descrizione e caratteristiche dell'articolo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  <w:t>Quantità richiesta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  <w:t>Prezzo Valore unitario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  <w:t>Totale</w:t>
            </w:r>
          </w:p>
        </w:tc>
      </w:tr>
      <w:tr w:rsidR="005C5C8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Notebook con sistema mac os; System on a chip, in architettura RISC su base completamente customizzata e proprietaria, con licenza di utilizzare le istruzioni ARM64; con CPU 8‑core, GPU 7‑core e Neural Engine 16‑core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  <w:t>16 GB di memoria unificata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Unità SSD da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 256GB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Display Retina con True Tone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Due porte Thunderbolt / USB 4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Aggiunta di Accessori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Notebook con sistema mac os;  System on a chip, PRO,  in architettura RISC su base completamente customizzata e proprietaria, con licenza di utilizzare le istruzioni ARM64;  con CPU 8‑core, GPU 14‑core, Neural Engine 16‑core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16GB di memoria unificata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Unità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 xml:space="preserve"> SSD da 512GB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Alimentatore USB‑C da 67W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Display Liquid Retina XDR da 14"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Tre porte Thunderbolt 4, porta HDMI, slot SDXC card, porta MagSafe 3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 xml:space="preserve">Aggiunta di Accessori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1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Notebook con sistema mac os; System on a chip,PRO, in architettura RISC su base completamente customizzata e proprietaria, con licenza di utilizzare le istruzioni ARM64; con CPU 10‑core, GPU 16‑core, Neural Engine 16‑core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16GB di memoria unificata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Unità SS</w:t>
            </w: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D da 1TB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Alimentatore USB‑C da 67W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Display Liquid Retina XDR da 16"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Tre porte Thunderbolt 4, porta HDMI, slot SDXC card, porta MagSafe 3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Aggiunta di Accessori e Licenza software Microsoft Project 2021 Professional + SonicWALL Content Filtering Service Prem</w:t>
            </w:r>
            <w:r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  <w:t>ium Business Edition per NSA 3600 - Licenza di abbonamento (1 anno) - 1 dispositivo + pacchetto office premium</w:t>
            </w:r>
          </w:p>
          <w:p w:rsidR="005C5C88" w:rsidRDefault="005C5C88">
            <w:pPr>
              <w:spacing w:after="0" w:line="240" w:lineRule="auto"/>
              <w:rPr>
                <w:rFonts w:ascii="Montserrat" w:eastAsia="Montserrat" w:hAnsi="Montserrat" w:cs="Montserrat"/>
                <w:color w:val="222529"/>
                <w:sz w:val="20"/>
                <w:szCs w:val="20"/>
                <w:highlight w:val="whit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  <w:t>Bundle multidispositivo: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  <w:t xml:space="preserve">Tastiera : 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capace di connettersi contemporaneamente tramite Bluetooth al computer, tablet o smartphone. Mappatura automaticamente dei tasti, memoria delle scelte rapide ed eelevata capacità adattiva. Sistemi Operativi Compatibili: Windows®, macOS, iOS, iPadOS, Chrome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 OS™, Android™ e Apple TV.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lastRenderedPageBreak/>
              <w:t>Con tecnologia Easy-Switch per associare fino a tre dispositivi contemporaneamente.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Tipo di connessione: Bluetooth Classic (3.0); Raggio d'azione wireless: 10 m 3Il raggio di copertura wireless varia in base al tipo di utilizzo e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 alle condizioni ambientali; Tipo di batteria: 2 AAA; Tasti speciali: Tasti dedicati (Home, Indietro, Passa all'app, Menu di scelta rapida), Easy-Switch™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  <w:t>Mouse: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 Tecnologia del sensore: Tracciamento ottico di alta precisione Risoluzione del sensore: 1000 dp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i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Numero di pulsanti: 3 Scroller: meccanico Pulsanti di scorrimento: Pulsante centrale Mouse compatibile con Unifying: Sì Tipo di batteria: 1 batteria AA preinstallata Distanza di funzionamento wireless: 10 m 4Il raggio di copertura wireless varia in base 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al tipo di utilizzo e alle condizioni ambientali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(Marca logitech o equivalenti)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Monitor Display 27" FHD (1920 x 1080); AMD FreeSync™; modalità Low Blue Light; due altoparlanti (2 W per canale); antiriflesso; altezza regolabile; webcam; microfono integrato; Certificazione Works With Chromebook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Tempo di risposta: 5 ms GtG (con overdrive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) HDMI; USB-C; USB port; DisplayPort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(Marca hp o equivalenti)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C5C88" w:rsidRDefault="00126437">
            <w:pPr>
              <w:widowControl w:val="0"/>
              <w:spacing w:after="0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Videocamera per videoconferenze all-in-one con obiettivo ultra grandangolare per sale di piccole dimensioni. Obiettivo personalizzato con zoom HD 5x e panoramica (+/- 25°) e inclinazione (+/- 15°) motorizzate</w:t>
            </w:r>
          </w:p>
          <w:p w:rsidR="005C5C88" w:rsidRDefault="00126437">
            <w:pPr>
              <w:widowControl w:val="0"/>
              <w:spacing w:after="0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Diagonale: 120°, orizzontale 113°, verticale 80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,7°. Copertura totale stanza (campo visivo + panoramica e inclinazione): 163° ampiezza x 110° altezza.</w:t>
            </w:r>
          </w:p>
          <w:p w:rsidR="005C5C88" w:rsidRDefault="00126437">
            <w:pPr>
              <w:widowControl w:val="0"/>
              <w:spacing w:after="0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3 preimposzioni di posizione della videocamera. Inquadratura automatica RightSight.</w:t>
            </w:r>
          </w:p>
          <w:p w:rsidR="005C5C88" w:rsidRDefault="00126437">
            <w:pPr>
              <w:widowControl w:val="0"/>
              <w:spacing w:after="0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(Marca logitech o equivalenti)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C5C88" w:rsidRDefault="00126437">
            <w:pPr>
              <w:widowControl w:val="0"/>
              <w:spacing w:after="0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Il supporto di montaggio su TV per Videocamere per videoconferenze consente di sistemare la videocamera sopra o sotto un monitor a schermo piatto, ed è compatibile con i punti di fissaggio standard VESA presenti nella maggior parte di TV e monitor.</w:t>
            </w:r>
          </w:p>
          <w:p w:rsidR="005C5C88" w:rsidRDefault="00126437">
            <w:pPr>
              <w:widowControl w:val="0"/>
              <w:spacing w:after="0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(Marca 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logitech o equivalenti)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Microfono ad espansione per videocamere da viconferenze nelle sale di dimensioni ridotte. Con microfoni integrati con tecnologia beamforming per prestazioni eccellenti fino a 4 metri. Per ampliare ulteriormente il raggio d'azione fino a 5 metri, basta aggi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ungere un microfono di espansione.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(Marca logitech o equivalenti)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24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Videocamera per videoconferenze all-in-one con otto microfoni di livello professionale e una serie di quattro potenti altoparlanti - due woofer da 50 mm e due tweeter da 20 mm.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Apparato video: Esclusivo campo visivo di 180° per garantire che tutti i partecipanti alla riunione siano inquadrati pur mantenendo la distanza di sicurezza. Tre videocamere da 13 megapixel, montate in un array multi-videocamera ad alta precisione, coprono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 ogni parte della sala.</w:t>
            </w:r>
          </w:p>
          <w:p w:rsidR="005C5C88" w:rsidRDefault="00126437">
            <w:pPr>
              <w:spacing w:after="24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(Marca jabra o equivalenti)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1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Cavo HDMI 4K Supporta Ultra HD / 3D: 3D | HD 2K @ 1080p | QHD @ 1440p | UHD 4K @ 2160p (fino a 60Hz su HDMI 2.0-HDMI 2.0)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Alta velocità per trasferimento dati: alta velocità fino a una larghezza di banda di 18 Gbps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Cavo video USB tipo C 4K a 60 Hz. sincronizzazione dati USB 3.1 Gen 2, 10 Gbps ad alta velocità. ricarica da 100 W, per una corrente massima di 5 A e 100 W di potenza.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Sicurezza da CE, FCC, RoHS, USB-IF.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Tecnologia nvme per prestazioni da ssd con velocità di lettura fino a 1.050 mb/s e velocità di scrittura fino a 1.000 mb/s in un'unità di storage portatile ad alta capacità, resistenza alle cadute da massimo due metri e un indice di protezione ip55 contro 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acqua e polvere. riservatezza dei contenuti con la crittografia hardware integrata aes a 256 bit e protezione tramite password.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(Marca sandisk o equivalenti)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Cuffie a padiglione chiuso, ControlTalk per riproduzione; Ideali per registrazione e mi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xaggio; Custodia da viaggio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(Marca beats o equivalenti)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Auricolari wireless magnetici con funzione automatica Play/Pausa; Batteria fino a 12 ore di ascolto; Comfort garantito grazie al cavo Flex-Form e ai copriauricolari forniti 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lastRenderedPageBreak/>
              <w:t>in quattro misure; chip Apple W1 per una connettività impeccabile; Condivisione aud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io; Bluetooth di Classe 1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Controlli integrati per musica, chiamate e assistente vocale; Microfono integrato che riduce il rumore del vento, per una nitidezza ottimale della voce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Compatibili con dispositivi Apple e Android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(Marca beats  o equivalenti)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Supporto Carrello per TV Schermi da 32 a 65 Pollici Pavimento Staffa Mobile TV con Ruote Portata 50 kg Inclinabile in Acciaio Gestione dei Cavi Regolabile Nero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Display multitouch; LED-backlit LCD flat panel display con schermo tattile; Classe diagonale 65"; Anodized black with anodized titan gray deco trim; Risoluzione 3840 x 2160; Formato di visualizzazione; 4K UHD (2160p; HDMI; Interfaccia PC; DisplayPort; Tecn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ologia LCD Backlight Retroilluminazione a LED; 16:9; Sintonizzatore TV; 2 altoparlanti; porte USB;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(Marca Dell o equivalenti)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Tablet con sistema macOs 11" Wi-Fi 128GB; System on a chip; CPU 8-core; Grafica 8-core; Neural Engine 8GB di RAM;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  <w:t>modem - router wifi 6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Computer portatili con sistema operativo Windows 11 Home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Intel® Core™ i7-1165G7 (fino a 4,7 GHz con tecnologia Intel® Turbo Boost, 12 MB di cache L3, 4 core, 8 thread)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16 GB di RAM DDR4-3200 MHz (2 x 8 GB)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512 GB PCIe® NVMe™ M.2 SSD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Diagonale da 35,6 cm (14"), FHD (1920 x 1080), abilitato per multitouch, IPS, vetro edge-to-edge, micro-edge, 250 nit, 45% NTSC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Scheda grafica Intel® Iris® X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ᵉ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(Marca hp o equivalenti)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 </w:t>
            </w: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Hard Disk - capacità 18 TB; Interfaccia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USB 3.2 Gen 1; Connettore USB-C; Prestazioni di lettura sequenziali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Up to 260 MB/s; Prestazioni di scrittura sequenziali Up to 260 MB/s; Compatibilità macOS 10.12,  Windows 10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(Marca sandisk o equivalenti) 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Computer desktop con sistema mac OS, Sistem on a chip Ultra, con  CPU 8‑core, GPU 8‑core e Neural Engine 16‑core 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lastRenderedPageBreak/>
              <w:t>16GB di memoria unificata Unità SSD da 256GB Gigabit Ethernet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Tablet 32 GB 22,1 cm (8.7") 3 GB Wi-Fi 5 (802.11ac) Modello del processore: MT8768. RAM installata: 3 GB. Risoluzione fotocamera posteriore (numerico): 8 MP, Tipo di fotocamera posteriore: Fotocamera singola, Risoluzione fotocamera frontale (numerico): 2 M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P, Fotocamera frontale. Wi-Fi standard: Wi-Fi 5 (802.11ac). Lettore di schede integrato.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(Marca Samsung o equivalenti)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Switch Unmanaged Gigabit Ethernet a 16 porte GS116PP con budget PoE da 183 W integra la tecnologia PoE+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Adattatore per monitor 4K, proiettori e altri dispositivi. Integra 1x porta HDMI, 1x micro/SD card reader, 2x porta USB 3.0, 1x porta USB-C.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La larghezza di banda fino a 5 Gbps. Chassis in alluminio, struttura sottile.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multipresa shuko/usb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Social Counter a 7 digit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- Compatible with Wi-Fi 802. 11 b/g/n (2,4 GHz) / Ethernet RJ45 plug (cable not included)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- Compatible with smartphone shared data connection through Wi-Fi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- Compatible with captive portal network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- Security : Open/WEP/WPA WPA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2-personal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- Static IP settings available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Contatore utenti a 7 digit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- Compatible with smartphone shared data connection through Wi-Fi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- Compatible with captive portal network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- Security : Open/WEP/WPA WPA2-personal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- Static IP settings available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Proiettore Tascabile di Film con Altoparlante Incorporato Display da 150"| HDMI, USB, MicroSD, Airplay e Miracast abilitati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(Marca Kodak  o equivalenti)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"https://www.logitech.com/it-it/products/presenters/spotlight-presentation-remote.910-004862.html" </w:instrText>
            </w:r>
            <w:r>
              <w:fldChar w:fldCharType="separate"/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Telecomando ad alte prestazioni per presentazioni. Tecnologia del sensore: Sensore di rilevamento dei movimenti Accelerometro 3D e giroscopio: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Batteria Ricaricabile, con polimero agli ioni di litio, 85 mAh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lastRenderedPageBreak/>
              <w:t>Tipo di connessione: Tecnologia Bluetooth Low Energy e connessione wireless da 2,4 GHz. Raggio d'azione wireless: 30 m 2Variabile in base alle condizioni ambientali e al tipo di utilizzo.</w:t>
            </w:r>
            <w:r>
              <w:fldChar w:fldCharType="end"/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(M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arca Logitech o equivalenti)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Smart Speaker | Codice: p-166473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Speaker WiFi Bluetooth 5.0 - Radio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Driver full range e 2 radiatori passivi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per bassi profondi e alte frequenze cristalline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Regolazione tocco - Assistente vocale Siri - VoiceOver - Funz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ione interfono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Monitor 27 pollici e risoluzione 4K UHD di 3840 x 2160 pixel; Tecnologia del pannello IPS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100% REC.709, 100% sRGB, HDR10, tecnologia EyeCare, Flicker-Free, Low Blue Light, Brightness Intelligence, funzione di rotazione automatica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Ricezione: HDMI 2.0, DisplayPort 1.4, miniDP, 4x USB 3.0, altoparlanti 2x2 watt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(Marca hp, dell, lg o equivalenti)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Computer desktop con Processore Intel® Core™ i7-12700H (3.5 GHz - 24 MB L3)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SSD: 1000 GB - RAM: 32 GB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Display: 15.6'' LCD Full HD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WiFi IEEE 802.11a/b/g/n/ac/ax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Bluetooth 5.2 - Windows 11 Home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Scheda grafica: NVIDIA GeForce RTX 3080, 8 GB dedicata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  <w:highlight w:val="white"/>
              </w:rPr>
              <w:t>(Marca MSI o equivalenti)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Mouse wireless, USB touchpad. supporta gesti Multi-Touch e integra la tecnologia Force Touch. con sensori di pressione sotto la superficie per l’intensità del tocco, Requisiti di sistema: Computer Mac con Bluetooth e OS X 10.11 o successivo, iPad con iPadO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S 13.4 o successivo</w:t>
            </w:r>
          </w:p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  <w:tr w:rsidR="005C5C8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Videocamera per lavagne digitali in sale di videoconferenza, Compatibile con tutte le lavagne, con un’acquisizione fino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a 2 x 1,2 m (6’ L x 4’ A), e con qualsiasi set di pennarelli. con Intelligenza artificiale integrata capa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ce di offrire un effetto trasparenza,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consentendo ai partecipanti di vedere “attraverso” il presentatore per una visuale senza ostacoli della lavagna. L' IA migliora automaticamente</w:t>
            </w:r>
          </w:p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 xml:space="preserve">i colori e il contrasto dei pennarelli, rendendo il testo e i disegni più </w:t>
            </w: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semplici da leggere. Rilevamento post-it.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C88" w:rsidRDefault="00126437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C5C88" w:rsidRDefault="005C5C8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1D1D1F"/>
                <w:sz w:val="20"/>
                <w:szCs w:val="20"/>
              </w:rPr>
            </w:pPr>
          </w:p>
        </w:tc>
      </w:tr>
    </w:tbl>
    <w:p w:rsidR="005C5C88" w:rsidRDefault="005C5C88">
      <w:pPr>
        <w:spacing w:after="0" w:line="240" w:lineRule="auto"/>
        <w:rPr>
          <w:rFonts w:ascii="Montserrat" w:eastAsia="Montserrat" w:hAnsi="Montserrat" w:cs="Montserrat"/>
          <w:color w:val="222529"/>
          <w:sz w:val="20"/>
          <w:szCs w:val="20"/>
        </w:rPr>
      </w:pPr>
      <w:bookmarkStart w:id="0" w:name="_GoBack"/>
      <w:bookmarkEnd w:id="0"/>
    </w:p>
    <w:sectPr w:rsidR="005C5C88">
      <w:headerReference w:type="default" r:id="rId7"/>
      <w:footerReference w:type="default" r:id="rId8"/>
      <w:pgSz w:w="11906" w:h="16838"/>
      <w:pgMar w:top="2410" w:right="1080" w:bottom="2410" w:left="1080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37" w:rsidRDefault="00126437">
      <w:pPr>
        <w:spacing w:after="0" w:line="240" w:lineRule="auto"/>
      </w:pPr>
      <w:r>
        <w:separator/>
      </w:r>
    </w:p>
  </w:endnote>
  <w:endnote w:type="continuationSeparator" w:id="0">
    <w:p w:rsidR="00126437" w:rsidRDefault="0012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88" w:rsidRDefault="00126437">
    <w:pPr>
      <w:pStyle w:val="Titolo6"/>
      <w:spacing w:before="0" w:after="0"/>
      <w:rPr>
        <w:b w:val="0"/>
        <w:color w:val="000000"/>
        <w:sz w:val="22"/>
        <w:szCs w:val="22"/>
      </w:rPr>
    </w:pPr>
    <w:bookmarkStart w:id="1" w:name="_heading=h.hzxqftkivcl" w:colFirst="0" w:colLast="0"/>
    <w:bookmarkEnd w:id="1"/>
    <w:r>
      <w:rPr>
        <w:rFonts w:ascii="Montserrat" w:eastAsia="Montserrat" w:hAnsi="Montserrat" w:cs="Montserrat"/>
        <w:b w:val="0"/>
        <w:noProof/>
        <w:sz w:val="24"/>
        <w:szCs w:val="24"/>
      </w:rPr>
      <w:drawing>
        <wp:inline distT="114300" distB="114300" distL="114300" distR="114300">
          <wp:extent cx="3013075" cy="92392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85" r="53887" b="1586"/>
                  <a:stretch>
                    <a:fillRect/>
                  </a:stretch>
                </pic:blipFill>
                <pic:spPr>
                  <a:xfrm>
                    <a:off x="0" y="0"/>
                    <a:ext cx="30130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5C88" w:rsidRDefault="005C5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37" w:rsidRDefault="00126437">
      <w:pPr>
        <w:spacing w:after="0" w:line="240" w:lineRule="auto"/>
      </w:pPr>
      <w:r>
        <w:separator/>
      </w:r>
    </w:p>
  </w:footnote>
  <w:footnote w:type="continuationSeparator" w:id="0">
    <w:p w:rsidR="00126437" w:rsidRDefault="0012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88" w:rsidRDefault="00126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005"/>
      </w:tabs>
      <w:spacing w:after="0" w:line="240" w:lineRule="auto"/>
      <w:jc w:val="center"/>
      <w:rPr>
        <w:b/>
        <w:i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-190496</wp:posOffset>
          </wp:positionH>
          <wp:positionV relativeFrom="paragraph">
            <wp:posOffset>9525</wp:posOffset>
          </wp:positionV>
          <wp:extent cx="3550396" cy="539588"/>
          <wp:effectExtent l="0" t="0" r="0" b="0"/>
          <wp:wrapSquare wrapText="bothSides" distT="0" distB="0" distL="0" distR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0396" cy="53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C88" w:rsidRDefault="005C5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005"/>
      </w:tabs>
      <w:spacing w:after="0" w:line="240" w:lineRule="auto"/>
      <w:jc w:val="center"/>
      <w:rPr>
        <w:b/>
        <w:i/>
        <w:sz w:val="24"/>
        <w:szCs w:val="24"/>
      </w:rPr>
    </w:pPr>
  </w:p>
  <w:p w:rsidR="005C5C88" w:rsidRDefault="005C5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005"/>
      </w:tabs>
      <w:spacing w:after="0" w:line="240" w:lineRule="auto"/>
      <w:jc w:val="center"/>
      <w:rPr>
        <w:b/>
        <w:i/>
        <w:sz w:val="24"/>
        <w:szCs w:val="24"/>
      </w:rPr>
    </w:pPr>
  </w:p>
  <w:p w:rsidR="005C5C88" w:rsidRDefault="005C5C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005"/>
      </w:tabs>
      <w:spacing w:after="0" w:line="240" w:lineRule="auto"/>
      <w:jc w:val="center"/>
      <w:rPr>
        <w:b/>
        <w:i/>
        <w:sz w:val="24"/>
        <w:szCs w:val="24"/>
      </w:rPr>
    </w:pPr>
  </w:p>
  <w:p w:rsidR="005C5C88" w:rsidRDefault="00126437">
    <w:pPr>
      <w:tabs>
        <w:tab w:val="center" w:pos="4819"/>
        <w:tab w:val="right" w:pos="9638"/>
        <w:tab w:val="left" w:pos="1005"/>
      </w:tabs>
      <w:spacing w:after="0" w:line="240" w:lineRule="aut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Modello Valore Offerto per singolo prodotto RDO MEPA n. </w:t>
    </w:r>
    <w:r w:rsidR="00A3123F">
      <w:rPr>
        <w:b/>
        <w:i/>
        <w:sz w:val="24"/>
        <w:szCs w:val="24"/>
      </w:rPr>
      <w:t>3011668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88"/>
    <w:rsid w:val="00126437"/>
    <w:rsid w:val="005C5C88"/>
    <w:rsid w:val="00A3123F"/>
    <w:rsid w:val="00A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C613A"/>
  <w15:docId w15:val="{27E1912C-BA24-674F-9E74-D4657409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5DA7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45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5E0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45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5E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4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5E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5159C"/>
    <w:pPr>
      <w:ind w:left="720"/>
      <w:contextualSpacing/>
    </w:pPr>
  </w:style>
  <w:style w:type="paragraph" w:styleId="Nessunaspaziatura">
    <w:name w:val="No Spacing"/>
    <w:uiPriority w:val="1"/>
    <w:qFormat/>
    <w:rsid w:val="00B155E3"/>
    <w:rPr>
      <w:rFonts w:ascii="Cambria" w:eastAsia="MS Mincho" w:hAnsi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076B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/pMIcP+vn/19nbG8k7zBkN7+kw==">AMUW2mVqXxUZIbpEW3aNidNFljSoJcn6YUqQ+Y4/+A8PRRXl4yuJ7nM73WDk10a4+zX4Bh4uj3CjsRLruhqqpfVAlCN16yt0YlxbvpedrTYtY+kYGkDgXjCA+TpPj7qbSUvIK6wslYq1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Esposito</dc:creator>
  <cp:lastModifiedBy>ISIDORO DE MARE</cp:lastModifiedBy>
  <cp:revision>3</cp:revision>
  <dcterms:created xsi:type="dcterms:W3CDTF">2020-04-27T08:41:00Z</dcterms:created>
  <dcterms:modified xsi:type="dcterms:W3CDTF">2022-05-09T12:47:00Z</dcterms:modified>
</cp:coreProperties>
</file>