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074419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3D6DB9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9D5FEF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6D8AEF76" w14:textId="36F8427D" w:rsidR="00247355" w:rsidRPr="00E72DF9" w:rsidRDefault="00B6363C" w:rsidP="00E72DF9">
      <w:pPr>
        <w:pStyle w:val="Default"/>
        <w:rPr>
          <w:rFonts w:ascii="Tahoma" w:hAnsi="Tahoma" w:cs="Tahoma"/>
          <w:color w:val="auto"/>
        </w:rPr>
      </w:pPr>
      <w:r w:rsidRPr="00E72DF9">
        <w:rPr>
          <w:rFonts w:ascii="Tahoma" w:hAnsi="Tahoma" w:cs="Tahoma"/>
          <w:color w:val="auto"/>
        </w:rPr>
        <w:t xml:space="preserve">OGGETTO: </w:t>
      </w:r>
      <w:r w:rsidR="00E17D90" w:rsidRPr="00E72DF9">
        <w:rPr>
          <w:rFonts w:ascii="Tahoma" w:hAnsi="Tahoma" w:cs="Tahoma"/>
          <w:color w:val="auto"/>
        </w:rPr>
        <w:t xml:space="preserve"> </w:t>
      </w:r>
      <w:r w:rsidR="00E72DF9" w:rsidRPr="00E72DF9">
        <w:rPr>
          <w:rFonts w:ascii="Tahoma" w:hAnsi="Tahoma" w:cs="Tahoma"/>
          <w:color w:val="auto"/>
        </w:rPr>
        <w:t xml:space="preserve">Servizio di vigilanza notturna nell’ambito del progetto </w:t>
      </w:r>
      <w:r w:rsidR="00E72DF9" w:rsidRPr="00E72DF9">
        <w:rPr>
          <w:rFonts w:ascii="Tahoma" w:hAnsi="Tahoma" w:cs="Tahoma"/>
          <w:i/>
          <w:iCs/>
          <w:color w:val="auto"/>
        </w:rPr>
        <w:t>SEG Geophysics Field Camp in Southern Italy 2021</w:t>
      </w:r>
      <w:r w:rsidR="00E72DF9" w:rsidRPr="00E72DF9">
        <w:rPr>
          <w:rFonts w:ascii="Tahoma" w:hAnsi="Tahoma" w:cs="Tahoma"/>
          <w:color w:val="auto"/>
        </w:rPr>
        <w:t>.</w:t>
      </w:r>
      <w:r w:rsidR="00F124C1" w:rsidRPr="00E72DF9">
        <w:rPr>
          <w:rFonts w:ascii="Tahoma" w:hAnsi="Tahoma" w:cs="Tahoma"/>
          <w:color w:val="auto"/>
        </w:rPr>
        <w:t xml:space="preserve">. </w:t>
      </w:r>
      <w:r w:rsidR="001C677E" w:rsidRPr="00E72DF9">
        <w:rPr>
          <w:rFonts w:ascii="Tahoma" w:hAnsi="Tahoma" w:cs="Tahoma"/>
          <w:color w:val="auto"/>
        </w:rPr>
        <w:t xml:space="preserve">Determina a contrarre e nomina RUP ai sensi del D.Lgs 50/16. CIG: </w:t>
      </w:r>
      <w:hyperlink r:id="rId8" w:history="1">
        <w:r w:rsidR="00E72DF9" w:rsidRPr="00E72DF9">
          <w:rPr>
            <w:rStyle w:val="Collegamentoipertestuale"/>
            <w:rFonts w:ascii="Tahoma" w:hAnsi="Tahoma" w:cs="Tahoma"/>
            <w:color w:val="auto"/>
            <w:shd w:val="clear" w:color="auto" w:fill="CDDEF0"/>
          </w:rPr>
          <w:t>Z6A330AF5F</w:t>
        </w:r>
      </w:hyperlink>
    </w:p>
    <w:p w14:paraId="7E21C774" w14:textId="77777777" w:rsidR="003865CC" w:rsidRPr="003865CC" w:rsidRDefault="003865CC" w:rsidP="00F579D9">
      <w:pPr>
        <w:pStyle w:val="Default"/>
        <w:rPr>
          <w:rFonts w:ascii="Tahoma" w:hAnsi="Tahoma" w:cs="Tahoma"/>
          <w:bCs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71C28B7E" w:rsidR="00624350" w:rsidRPr="00657E5D" w:rsidRDefault="001C677E" w:rsidP="00254DB2">
      <w:pPr>
        <w:pStyle w:val="Default"/>
        <w:ind w:left="1701" w:hanging="1701"/>
        <w:jc w:val="both"/>
        <w:rPr>
          <w:rFonts w:ascii="Calibri" w:hAnsi="Calibri" w:cs="Calibri"/>
          <w:sz w:val="20"/>
          <w:szCs w:val="20"/>
        </w:rPr>
      </w:pPr>
      <w:r w:rsidRPr="00657E5D">
        <w:rPr>
          <w:rFonts w:cs="Tahoma"/>
          <w:bCs/>
          <w:sz w:val="20"/>
          <w:szCs w:val="20"/>
        </w:rPr>
        <w:t>VISTO</w:t>
      </w:r>
      <w:r w:rsidRPr="00657E5D">
        <w:rPr>
          <w:rFonts w:cs="Tahoma"/>
          <w:bCs/>
          <w:sz w:val="20"/>
          <w:szCs w:val="20"/>
        </w:rPr>
        <w:tab/>
      </w:r>
      <w:r w:rsidRPr="00254DB2">
        <w:rPr>
          <w:rFonts w:ascii="Tahoma" w:hAnsi="Tahoma" w:cs="Tahoma"/>
          <w:bCs/>
          <w:sz w:val="20"/>
          <w:szCs w:val="20"/>
        </w:rPr>
        <w:t xml:space="preserve">che per le esigenze della </w:t>
      </w:r>
      <w:r w:rsidR="00254DB2" w:rsidRPr="00254DB2">
        <w:rPr>
          <w:rFonts w:ascii="Tahoma" w:hAnsi="Tahoma" w:cs="Tahoma"/>
          <w:bCs/>
          <w:sz w:val="20"/>
          <w:szCs w:val="20"/>
        </w:rPr>
        <w:t>ricerca</w:t>
      </w:r>
      <w:r w:rsidRPr="00254DB2">
        <w:rPr>
          <w:rFonts w:ascii="Tahoma" w:hAnsi="Tahoma" w:cs="Tahoma"/>
          <w:bCs/>
          <w:sz w:val="20"/>
          <w:szCs w:val="20"/>
        </w:rPr>
        <w:t xml:space="preserve">, </w:t>
      </w:r>
      <w:r w:rsidR="004B4C90" w:rsidRPr="00254DB2">
        <w:rPr>
          <w:rFonts w:ascii="Tahoma" w:hAnsi="Tahoma" w:cs="Tahoma"/>
          <w:bCs/>
          <w:sz w:val="20"/>
          <w:szCs w:val="20"/>
        </w:rPr>
        <w:t xml:space="preserve"> </w:t>
      </w:r>
      <w:r w:rsidRPr="00254DB2">
        <w:rPr>
          <w:rFonts w:ascii="Tahoma" w:hAnsi="Tahoma" w:cs="Tahoma"/>
          <w:bCs/>
          <w:sz w:val="20"/>
          <w:szCs w:val="20"/>
        </w:rPr>
        <w:t>come manifestate</w:t>
      </w:r>
      <w:r w:rsidR="003865CC" w:rsidRPr="00254DB2">
        <w:rPr>
          <w:rFonts w:ascii="Tahoma" w:hAnsi="Tahoma" w:cs="Tahoma"/>
          <w:bCs/>
          <w:sz w:val="20"/>
          <w:szCs w:val="20"/>
        </w:rPr>
        <w:t xml:space="preserve"> dal </w:t>
      </w:r>
      <w:r w:rsidR="00254DB2" w:rsidRPr="00254DB2">
        <w:rPr>
          <w:rFonts w:ascii="Tahoma" w:hAnsi="Tahoma" w:cs="Tahoma"/>
          <w:bCs/>
          <w:sz w:val="20"/>
          <w:szCs w:val="20"/>
        </w:rPr>
        <w:t xml:space="preserve">Prof Maurizio Fedi per la necessità dell’emissione del buono d’ordine per le spese relative al servizio di vigilanza notturna nell’ambito del progetto </w:t>
      </w:r>
      <w:r w:rsidR="00254DB2" w:rsidRPr="00254DB2">
        <w:rPr>
          <w:rFonts w:ascii="Tahoma" w:hAnsi="Tahoma" w:cs="Tahoma"/>
          <w:bCs/>
          <w:i/>
          <w:iCs/>
          <w:sz w:val="20"/>
          <w:szCs w:val="20"/>
        </w:rPr>
        <w:t>SEG Geophysics Field Camp in Southern Italy 2021</w:t>
      </w:r>
      <w:r w:rsidR="00254DB2" w:rsidRPr="00254DB2">
        <w:rPr>
          <w:rFonts w:ascii="Tahoma" w:hAnsi="Tahoma" w:cs="Tahoma"/>
          <w:bCs/>
          <w:sz w:val="20"/>
          <w:szCs w:val="20"/>
        </w:rPr>
        <w:t>.</w:t>
      </w:r>
      <w:r w:rsidR="00657E5D" w:rsidRPr="00254DB2">
        <w:rPr>
          <w:rFonts w:ascii="Tahoma" w:hAnsi="Tahoma" w:cs="Tahoma"/>
          <w:bCs/>
          <w:sz w:val="20"/>
          <w:szCs w:val="20"/>
        </w:rPr>
        <w:t>;</w:t>
      </w:r>
    </w:p>
    <w:p w14:paraId="60013C5C" w14:textId="600EFF42" w:rsidR="001C677E" w:rsidRPr="006845E7" w:rsidRDefault="001C677E" w:rsidP="00254DB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461819A8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="00254DB2">
        <w:rPr>
          <w:rFonts w:ascii="Tahoma" w:hAnsi="Tahoma" w:cs="Tahoma"/>
          <w:bCs/>
          <w:sz w:val="20"/>
          <w:szCs w:val="20"/>
        </w:rPr>
        <w:t xml:space="preserve">non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5F75C26A" w:rsidR="00756C64" w:rsidRPr="00834C82" w:rsidRDefault="001C677E" w:rsidP="00254DB2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34C82">
        <w:rPr>
          <w:rFonts w:ascii="Tahoma" w:hAnsi="Tahoma" w:cs="Tahoma"/>
          <w:bCs/>
          <w:sz w:val="20"/>
          <w:szCs w:val="20"/>
        </w:rPr>
        <w:t>che da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lle ricerche effettuate dal </w:t>
      </w:r>
      <w:r w:rsidR="003865CC">
        <w:rPr>
          <w:rFonts w:ascii="Tahoma" w:hAnsi="Tahoma" w:cs="Tahoma"/>
          <w:bCs/>
          <w:sz w:val="20"/>
          <w:szCs w:val="20"/>
        </w:rPr>
        <w:t xml:space="preserve">Prof </w:t>
      </w:r>
      <w:r w:rsidR="00254DB2">
        <w:rPr>
          <w:rFonts w:ascii="Tahoma" w:hAnsi="Tahoma" w:cs="Tahoma"/>
          <w:bCs/>
          <w:sz w:val="20"/>
          <w:szCs w:val="20"/>
        </w:rPr>
        <w:t>Maurizio Fedi</w:t>
      </w:r>
      <w:r w:rsidR="003865CC">
        <w:rPr>
          <w:rFonts w:ascii="Tahoma" w:hAnsi="Tahoma" w:cs="Tahoma"/>
          <w:bCs/>
          <w:sz w:val="20"/>
          <w:szCs w:val="20"/>
        </w:rPr>
        <w:t xml:space="preserve">, </w:t>
      </w:r>
      <w:r w:rsidR="00254DB2">
        <w:rPr>
          <w:rFonts w:ascii="Tahoma" w:hAnsi="Tahoma" w:cs="Tahoma"/>
          <w:bCs/>
          <w:sz w:val="20"/>
          <w:szCs w:val="20"/>
        </w:rPr>
        <w:t>sono state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individuat</w:t>
      </w:r>
      <w:r w:rsidR="00254DB2">
        <w:rPr>
          <w:rFonts w:ascii="Tahoma" w:hAnsi="Tahoma" w:cs="Tahoma"/>
          <w:bCs/>
          <w:sz w:val="20"/>
          <w:szCs w:val="20"/>
        </w:rPr>
        <w:t>e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254DB2">
        <w:rPr>
          <w:rFonts w:ascii="Tahoma" w:hAnsi="Tahoma" w:cs="Tahoma"/>
          <w:bCs/>
          <w:sz w:val="20"/>
          <w:szCs w:val="20"/>
        </w:rPr>
        <w:t>3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ditt</w:t>
      </w:r>
      <w:r w:rsidR="00254DB2">
        <w:rPr>
          <w:rFonts w:ascii="Tahoma" w:hAnsi="Tahoma" w:cs="Tahoma"/>
          <w:bCs/>
          <w:sz w:val="20"/>
          <w:szCs w:val="20"/>
        </w:rPr>
        <w:t>e</w:t>
      </w:r>
      <w:r w:rsidR="00756C64" w:rsidRPr="00834C82">
        <w:rPr>
          <w:rFonts w:ascii="Tahoma" w:hAnsi="Tahoma" w:cs="Tahoma"/>
          <w:bCs/>
          <w:sz w:val="20"/>
          <w:szCs w:val="20"/>
        </w:rPr>
        <w:t>:</w:t>
      </w:r>
    </w:p>
    <w:p w14:paraId="5C74E23C" w14:textId="5BBA68A1" w:rsidR="00254DB2" w:rsidRDefault="00254DB2" w:rsidP="007A4D22">
      <w:pPr>
        <w:pStyle w:val="Default"/>
        <w:ind w:left="1701" w:right="-285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Europolice </w:t>
      </w:r>
      <w:r w:rsidR="00054098">
        <w:rPr>
          <w:rFonts w:ascii="Tahoma" w:hAnsi="Tahoma" w:cs="Tahoma"/>
          <w:bCs/>
          <w:sz w:val="20"/>
          <w:szCs w:val="20"/>
        </w:rPr>
        <w:t>–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="00054098">
        <w:rPr>
          <w:rFonts w:ascii="Tahoma" w:hAnsi="Tahoma" w:cs="Tahoma"/>
          <w:bCs/>
          <w:sz w:val="20"/>
          <w:szCs w:val="20"/>
        </w:rPr>
        <w:t>Cosmopol – CDM-Vigilanza fra cui:</w:t>
      </w:r>
    </w:p>
    <w:p w14:paraId="0C121AA9" w14:textId="4D73EDA1" w:rsidR="004B4C90" w:rsidRPr="00834C82" w:rsidRDefault="00054098" w:rsidP="0005409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/>
        <w:jc w:val="left"/>
        <w:rPr>
          <w:rFonts w:cs="Tahoma"/>
          <w:sz w:val="20"/>
          <w:szCs w:val="20"/>
        </w:rPr>
      </w:pPr>
      <w:r>
        <w:rPr>
          <w:rFonts w:ascii="Arial" w:eastAsia="Microsoft YaHei" w:hAnsi="Arial" w:cs="Arial"/>
          <w:b/>
          <w:bCs/>
          <w:sz w:val="20"/>
          <w:szCs w:val="20"/>
          <w:lang w:eastAsia="it-IT"/>
        </w:rPr>
        <w:t xml:space="preserve">EUROPOLICE, Istituto di vigilanza </w:t>
      </w:r>
      <w:r w:rsidR="00C75B0B" w:rsidRPr="00834C82">
        <w:rPr>
          <w:rFonts w:cs="Tahoma"/>
          <w:sz w:val="20"/>
          <w:szCs w:val="20"/>
        </w:rPr>
        <w:t>con</w:t>
      </w:r>
      <w:r w:rsidR="004B4C90" w:rsidRPr="00834C82">
        <w:rPr>
          <w:rFonts w:cs="Tahoma"/>
          <w:sz w:val="20"/>
          <w:szCs w:val="20"/>
        </w:rPr>
        <w:t xml:space="preserve"> </w:t>
      </w:r>
      <w:r w:rsidR="008C7567" w:rsidRPr="00834C82">
        <w:rPr>
          <w:rFonts w:cs="Tahoma"/>
          <w:sz w:val="20"/>
          <w:szCs w:val="20"/>
        </w:rPr>
        <w:t xml:space="preserve">P. </w:t>
      </w:r>
      <w:r w:rsidR="008C7567" w:rsidRPr="00D02A57">
        <w:rPr>
          <w:rFonts w:cs="Tahoma"/>
          <w:sz w:val="20"/>
          <w:szCs w:val="20"/>
        </w:rPr>
        <w:t>Iva</w:t>
      </w:r>
      <w:r w:rsidR="00820663" w:rsidRPr="00D02A57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cs="Tahoma"/>
          <w:color w:val="212529"/>
          <w:sz w:val="20"/>
          <w:szCs w:val="20"/>
          <w:shd w:val="clear" w:color="auto" w:fill="FFFFFF"/>
        </w:rPr>
        <w:t> </w:t>
      </w:r>
      <w:r w:rsidR="00FE73C3" w:rsidRPr="00FE73C3">
        <w:rPr>
          <w:rStyle w:val="Enfasigrassetto"/>
          <w:rFonts w:cs="Tahoma"/>
          <w:b w:val="0"/>
          <w:bCs w:val="0"/>
          <w:color w:val="19191A"/>
          <w:sz w:val="20"/>
          <w:szCs w:val="20"/>
        </w:rPr>
        <w:t>03188330652</w:t>
      </w:r>
      <w:r w:rsidR="00657E5D">
        <w:rPr>
          <w:rFonts w:cs="Tahoma"/>
          <w:bCs/>
          <w:sz w:val="20"/>
          <w:szCs w:val="20"/>
        </w:rPr>
        <w:t xml:space="preserve"> </w:t>
      </w:r>
      <w:r w:rsidR="00C75B0B" w:rsidRPr="00834C82">
        <w:rPr>
          <w:rFonts w:cs="Tahoma"/>
          <w:sz w:val="20"/>
          <w:szCs w:val="20"/>
        </w:rPr>
        <w:t xml:space="preserve">ed </w:t>
      </w:r>
      <w:r w:rsidR="00146FF9" w:rsidRPr="00834C82">
        <w:rPr>
          <w:rFonts w:cs="Tahoma"/>
          <w:sz w:val="20"/>
          <w:szCs w:val="20"/>
        </w:rPr>
        <w:t xml:space="preserve">importo </w:t>
      </w:r>
      <w:r w:rsidR="00CD5DA2">
        <w:rPr>
          <w:rFonts w:cs="Tahoma"/>
          <w:sz w:val="20"/>
          <w:szCs w:val="20"/>
        </w:rPr>
        <w:t>di</w:t>
      </w:r>
      <w:r w:rsidR="00783BEF" w:rsidRPr="00834C82">
        <w:rPr>
          <w:rFonts w:cs="Tahoma"/>
          <w:sz w:val="20"/>
          <w:szCs w:val="20"/>
        </w:rPr>
        <w:t xml:space="preserve"> </w:t>
      </w:r>
      <w:r w:rsidR="004B4C90" w:rsidRPr="00834C82">
        <w:rPr>
          <w:rFonts w:cs="Tahoma"/>
          <w:sz w:val="20"/>
          <w:szCs w:val="20"/>
        </w:rPr>
        <w:t xml:space="preserve">€ </w:t>
      </w:r>
      <w:r>
        <w:rPr>
          <w:rFonts w:cs="Tahoma"/>
          <w:sz w:val="20"/>
          <w:szCs w:val="20"/>
        </w:rPr>
        <w:t>214,20</w:t>
      </w:r>
      <w:r w:rsidR="00395EB4" w:rsidRPr="00834C82">
        <w:rPr>
          <w:rFonts w:cs="Tahoma"/>
          <w:sz w:val="20"/>
          <w:szCs w:val="20"/>
        </w:rPr>
        <w:t xml:space="preserve"> </w:t>
      </w:r>
      <w:r w:rsidR="004B4C90" w:rsidRPr="00834C82">
        <w:rPr>
          <w:rFonts w:cs="Tahoma"/>
          <w:sz w:val="20"/>
          <w:szCs w:val="20"/>
        </w:rPr>
        <w:t>oltre IVA 22%</w:t>
      </w:r>
      <w:r w:rsidR="00820663" w:rsidRPr="00834C82">
        <w:rPr>
          <w:rFonts w:cs="Tahoma"/>
          <w:sz w:val="20"/>
          <w:szCs w:val="20"/>
        </w:rPr>
        <w:t xml:space="preserve"> offre il minor prezzo;</w:t>
      </w:r>
    </w:p>
    <w:p w14:paraId="4491DB21" w14:textId="5E3CB7AA" w:rsidR="005116E1" w:rsidRDefault="001C677E" w:rsidP="00FE73C3">
      <w:pPr>
        <w:pStyle w:val="Default"/>
        <w:ind w:left="1701" w:hanging="1701"/>
        <w:rPr>
          <w:sz w:val="20"/>
          <w:szCs w:val="20"/>
        </w:rPr>
      </w:pPr>
      <w:r w:rsidRPr="00834C82">
        <w:rPr>
          <w:rFonts w:cs="Tahoma"/>
          <w:sz w:val="20"/>
          <w:szCs w:val="20"/>
        </w:rPr>
        <w:t xml:space="preserve">CONSIDERATO </w:t>
      </w:r>
      <w:r w:rsidR="00F3047C" w:rsidRPr="00834C82">
        <w:rPr>
          <w:rFonts w:cs="Tahoma"/>
          <w:sz w:val="20"/>
          <w:szCs w:val="20"/>
        </w:rPr>
        <w:t xml:space="preserve">  </w:t>
      </w:r>
      <w:r w:rsidRPr="00834C82">
        <w:rPr>
          <w:rFonts w:cs="Tahoma"/>
          <w:sz w:val="20"/>
          <w:szCs w:val="20"/>
        </w:rPr>
        <w:tab/>
      </w:r>
      <w:r w:rsidRPr="00834C82">
        <w:rPr>
          <w:rFonts w:cs="Tahoma"/>
          <w:bCs/>
          <w:sz w:val="20"/>
          <w:szCs w:val="20"/>
        </w:rPr>
        <w:t>che</w:t>
      </w:r>
      <w:r w:rsidRPr="00834C82">
        <w:rPr>
          <w:rFonts w:cs="Tahoma"/>
          <w:sz w:val="20"/>
          <w:szCs w:val="20"/>
        </w:rPr>
        <w:t xml:space="preserve"> la spesa trova copertura con imputazione a</w:t>
      </w:r>
      <w:r w:rsidR="008E5016" w:rsidRPr="00834C82">
        <w:rPr>
          <w:rFonts w:cs="Tahoma"/>
          <w:sz w:val="20"/>
          <w:szCs w:val="20"/>
        </w:rPr>
        <w:t>:</w:t>
      </w:r>
      <w:r w:rsidR="0053785A">
        <w:rPr>
          <w:rFonts w:cs="Tahoma"/>
          <w:sz w:val="20"/>
          <w:szCs w:val="20"/>
        </w:rPr>
        <w:t xml:space="preserve"> </w:t>
      </w:r>
      <w:r w:rsidR="00FE73C3" w:rsidRPr="00FE73C3">
        <w:rPr>
          <w:sz w:val="22"/>
        </w:rPr>
        <w:t>000024_SEG_Geophysics_Field_Camp_in_Southern_Italy.</w:t>
      </w:r>
    </w:p>
    <w:p w14:paraId="0CD1FF70" w14:textId="77777777" w:rsidR="00FE73C3" w:rsidRDefault="00FE73C3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713C74F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6557FB8E" w14:textId="77777777" w:rsidR="00FE73C3" w:rsidRPr="00FE73C3" w:rsidRDefault="00530E88" w:rsidP="005332E9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sz w:val="22"/>
        </w:rPr>
      </w:pPr>
      <w:r w:rsidRPr="00FE73C3">
        <w:rPr>
          <w:rFonts w:cs="Tahoma"/>
          <w:sz w:val="22"/>
        </w:rPr>
        <w:tab/>
        <w:t>Di aut</w:t>
      </w:r>
      <w:r w:rsidR="00B25D8F" w:rsidRPr="00FE73C3">
        <w:rPr>
          <w:rFonts w:cs="Tahoma"/>
          <w:sz w:val="22"/>
        </w:rPr>
        <w:t xml:space="preserve">orizzare l’affidamento del </w:t>
      </w:r>
      <w:r w:rsidRPr="00FE73C3">
        <w:rPr>
          <w:rFonts w:cs="Tahoma"/>
          <w:sz w:val="22"/>
        </w:rPr>
        <w:t xml:space="preserve">servizio in premessa alla ditta </w:t>
      </w:r>
      <w:r w:rsidR="00FE73C3" w:rsidRPr="00FE73C3">
        <w:rPr>
          <w:rFonts w:eastAsia="Microsoft YaHei" w:cs="Tahoma"/>
          <w:b/>
          <w:bCs/>
          <w:sz w:val="22"/>
          <w:lang w:eastAsia="it-IT"/>
        </w:rPr>
        <w:t xml:space="preserve">EUROPOLICE, Istituto di vigilanza </w:t>
      </w:r>
      <w:r w:rsidR="00FE73C3" w:rsidRPr="00FE73C3">
        <w:rPr>
          <w:rFonts w:cs="Tahoma"/>
          <w:sz w:val="22"/>
        </w:rPr>
        <w:t>con P. Iva</w:t>
      </w:r>
      <w:r w:rsidR="00FE73C3" w:rsidRPr="00FE73C3">
        <w:rPr>
          <w:rFonts w:cs="Tahoma"/>
          <w:color w:val="888888"/>
          <w:sz w:val="22"/>
          <w:shd w:val="clear" w:color="auto" w:fill="FFFFFF"/>
        </w:rPr>
        <w:t xml:space="preserve"> </w:t>
      </w:r>
      <w:r w:rsidR="00FE73C3" w:rsidRPr="00FE73C3">
        <w:rPr>
          <w:rFonts w:cs="Tahoma"/>
          <w:color w:val="212529"/>
          <w:sz w:val="22"/>
          <w:shd w:val="clear" w:color="auto" w:fill="FFFFFF"/>
        </w:rPr>
        <w:t> </w:t>
      </w:r>
      <w:r w:rsidR="00FE73C3" w:rsidRPr="00FE73C3">
        <w:rPr>
          <w:rStyle w:val="Enfasigrassetto"/>
          <w:rFonts w:cs="Tahoma"/>
          <w:b w:val="0"/>
          <w:bCs w:val="0"/>
          <w:color w:val="19191A"/>
          <w:sz w:val="22"/>
        </w:rPr>
        <w:t>03188330652</w:t>
      </w:r>
      <w:r w:rsidR="00FE73C3" w:rsidRPr="00FE73C3">
        <w:rPr>
          <w:rFonts w:cs="Tahoma"/>
          <w:bCs/>
          <w:sz w:val="22"/>
        </w:rPr>
        <w:t xml:space="preserve"> </w:t>
      </w:r>
    </w:p>
    <w:p w14:paraId="58259CFD" w14:textId="1BF7F646" w:rsidR="00FE73C3" w:rsidRPr="00FE73C3" w:rsidRDefault="00D608E9" w:rsidP="00FE73C3">
      <w:pPr>
        <w:pStyle w:val="Default"/>
        <w:numPr>
          <w:ilvl w:val="0"/>
          <w:numId w:val="18"/>
        </w:numPr>
        <w:ind w:left="851" w:hanging="284"/>
        <w:rPr>
          <w:rFonts w:ascii="Tahoma" w:hAnsi="Tahoma" w:cs="Tahoma"/>
          <w:sz w:val="22"/>
          <w:szCs w:val="22"/>
        </w:rPr>
      </w:pPr>
      <w:r w:rsidRPr="00FE73C3">
        <w:rPr>
          <w:rFonts w:ascii="Tahoma" w:hAnsi="Tahoma" w:cs="Tahoma"/>
          <w:sz w:val="22"/>
          <w:szCs w:val="22"/>
        </w:rPr>
        <w:t>Di autorizzare l’Ufficio Dipartimentale Contabilità, Progetti di ricerca e Contratti a procedere all’affidamento del bene/servizio, facendo</w:t>
      </w:r>
      <w:r w:rsidR="00552518" w:rsidRPr="00FE73C3">
        <w:rPr>
          <w:rFonts w:ascii="Tahoma" w:hAnsi="Tahoma" w:cs="Tahoma"/>
          <w:sz w:val="22"/>
          <w:szCs w:val="22"/>
        </w:rPr>
        <w:t xml:space="preserve"> gravare la spesa pari ad </w:t>
      </w:r>
      <w:r w:rsidR="00375228" w:rsidRPr="00FE73C3">
        <w:rPr>
          <w:rFonts w:ascii="Tahoma" w:hAnsi="Tahoma" w:cs="Tahoma"/>
          <w:sz w:val="22"/>
          <w:szCs w:val="22"/>
        </w:rPr>
        <w:t xml:space="preserve">€ </w:t>
      </w:r>
      <w:r w:rsidR="00FE73C3" w:rsidRPr="00FE73C3">
        <w:rPr>
          <w:rFonts w:ascii="Tahoma" w:hAnsi="Tahoma" w:cs="Tahoma"/>
          <w:sz w:val="22"/>
          <w:szCs w:val="22"/>
        </w:rPr>
        <w:t xml:space="preserve">214,20 </w:t>
      </w:r>
      <w:r w:rsidR="00375228" w:rsidRPr="00FE73C3">
        <w:rPr>
          <w:rFonts w:ascii="Tahoma" w:hAnsi="Tahoma" w:cs="Tahoma"/>
          <w:sz w:val="22"/>
          <w:szCs w:val="22"/>
        </w:rPr>
        <w:t xml:space="preserve">oltre IVA 22% </w:t>
      </w:r>
      <w:r w:rsidRPr="00FE73C3">
        <w:rPr>
          <w:rFonts w:ascii="Tahoma" w:hAnsi="Tahoma" w:cs="Tahoma"/>
          <w:sz w:val="22"/>
          <w:szCs w:val="22"/>
        </w:rPr>
        <w:t xml:space="preserve"> sul fondo </w:t>
      </w:r>
      <w:r w:rsidR="00F3047C" w:rsidRPr="00FE73C3">
        <w:rPr>
          <w:rFonts w:ascii="Tahoma" w:hAnsi="Tahoma" w:cs="Tahoma"/>
          <w:sz w:val="22"/>
          <w:szCs w:val="22"/>
        </w:rPr>
        <w:t xml:space="preserve"> </w:t>
      </w:r>
      <w:r w:rsidR="00FE73C3" w:rsidRPr="00FE73C3">
        <w:rPr>
          <w:rFonts w:ascii="Tahoma" w:hAnsi="Tahoma" w:cs="Tahoma"/>
          <w:sz w:val="22"/>
          <w:szCs w:val="22"/>
        </w:rPr>
        <w:t>000024_SEG_Geophysics_Field_Camp_in_Southern_Italy:</w:t>
      </w:r>
    </w:p>
    <w:p w14:paraId="49F4CFBC" w14:textId="36047B97" w:rsidR="00CA4D5F" w:rsidRPr="00FE73C3" w:rsidRDefault="00F45436" w:rsidP="00641133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jc w:val="left"/>
        <w:rPr>
          <w:rFonts w:cs="Tahoma"/>
          <w:sz w:val="22"/>
        </w:rPr>
      </w:pPr>
      <w:r w:rsidRPr="00FE73C3">
        <w:rPr>
          <w:rFonts w:cs="Tahoma"/>
          <w:sz w:val="22"/>
        </w:rPr>
        <w:t xml:space="preserve">  </w:t>
      </w:r>
      <w:r w:rsidR="00CA4D5F" w:rsidRPr="00FE73C3">
        <w:rPr>
          <w:rFonts w:cs="Tahoma"/>
          <w:sz w:val="22"/>
        </w:rPr>
        <w:t>Di nominare</w:t>
      </w:r>
      <w:r w:rsidR="00267C6B" w:rsidRPr="00FE73C3">
        <w:rPr>
          <w:rFonts w:cs="Tahoma"/>
          <w:sz w:val="22"/>
        </w:rPr>
        <w:t>, ai sensi dell’art. 31 comma 1, del D.Lgs.</w:t>
      </w:r>
      <w:r w:rsidR="003270C1" w:rsidRPr="00FE73C3">
        <w:rPr>
          <w:rFonts w:cs="Tahoma"/>
          <w:sz w:val="22"/>
        </w:rPr>
        <w:t xml:space="preserve"> </w:t>
      </w:r>
      <w:r w:rsidR="00267C6B" w:rsidRPr="00FE73C3">
        <w:rPr>
          <w:rFonts w:cs="Tahoma"/>
          <w:sz w:val="22"/>
        </w:rPr>
        <w:t xml:space="preserve">50/2016, quale </w:t>
      </w:r>
      <w:r w:rsidR="00267C6B" w:rsidRPr="00FE73C3">
        <w:rPr>
          <w:rFonts w:cs="Tahoma"/>
          <w:i/>
          <w:sz w:val="22"/>
        </w:rPr>
        <w:t xml:space="preserve">Responsabile Unico del Procedimento </w:t>
      </w:r>
      <w:r w:rsidR="00267C6B" w:rsidRPr="00FE73C3">
        <w:rPr>
          <w:rFonts w:cs="Tahoma"/>
          <w:sz w:val="22"/>
        </w:rPr>
        <w:t>(RUP)</w:t>
      </w:r>
      <w:r w:rsidR="00FC2755" w:rsidRPr="00FE73C3">
        <w:rPr>
          <w:rFonts w:cs="Tahoma"/>
          <w:sz w:val="22"/>
        </w:rPr>
        <w:t xml:space="preserve"> </w:t>
      </w:r>
      <w:r w:rsidR="00651663" w:rsidRPr="00FE73C3">
        <w:rPr>
          <w:rFonts w:cs="Tahoma"/>
          <w:sz w:val="22"/>
        </w:rPr>
        <w:t xml:space="preserve">il </w:t>
      </w:r>
      <w:r w:rsidR="00284B83" w:rsidRPr="00FE73C3">
        <w:rPr>
          <w:rFonts w:cs="Tahoma"/>
          <w:sz w:val="22"/>
        </w:rPr>
        <w:t xml:space="preserve">dott. </w:t>
      </w:r>
      <w:r w:rsidR="002918CD" w:rsidRPr="00FE73C3">
        <w:rPr>
          <w:rFonts w:cs="Tahoma"/>
          <w:sz w:val="22"/>
        </w:rPr>
        <w:t>Raffaele Viola</w:t>
      </w:r>
      <w:r w:rsidR="00651663" w:rsidRPr="00FE73C3">
        <w:rPr>
          <w:rFonts w:cs="Tahoma"/>
          <w:sz w:val="22"/>
        </w:rPr>
        <w:t>.</w:t>
      </w:r>
    </w:p>
    <w:p w14:paraId="4FD23E9B" w14:textId="77777777" w:rsidR="00267C6B" w:rsidRPr="00FE73C3" w:rsidRDefault="00267C6B" w:rsidP="00880112">
      <w:pPr>
        <w:pStyle w:val="Nessunaspaziatura"/>
        <w:numPr>
          <w:ilvl w:val="0"/>
          <w:numId w:val="17"/>
        </w:numPr>
        <w:ind w:hanging="153"/>
        <w:rPr>
          <w:rFonts w:cs="Tahoma"/>
          <w:sz w:val="22"/>
        </w:rPr>
      </w:pPr>
      <w:r w:rsidRPr="00FE73C3">
        <w:rPr>
          <w:rFonts w:cs="Tahoma"/>
          <w:sz w:val="22"/>
        </w:rPr>
        <w:t xml:space="preserve">Di pubblicare </w:t>
      </w:r>
      <w:r w:rsidR="00AF4A71" w:rsidRPr="00FE73C3">
        <w:rPr>
          <w:rFonts w:cs="Tahoma"/>
          <w:sz w:val="22"/>
        </w:rPr>
        <w:t xml:space="preserve">il presente provvedimento sul sito </w:t>
      </w:r>
      <w:r w:rsidR="006178B0" w:rsidRPr="00FE73C3">
        <w:rPr>
          <w:rFonts w:cs="Tahoma"/>
          <w:sz w:val="22"/>
        </w:rPr>
        <w:t>dell’Università Federico II</w:t>
      </w:r>
      <w:r w:rsidR="00AF4A71" w:rsidRPr="00FE73C3">
        <w:rPr>
          <w:rFonts w:cs="Tahoma"/>
          <w:sz w:val="22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615E3" w14:textId="77777777" w:rsidR="00B25A59" w:rsidRDefault="00B25A59" w:rsidP="002558D8">
      <w:pPr>
        <w:spacing w:line="240" w:lineRule="auto"/>
      </w:pPr>
      <w:r>
        <w:separator/>
      </w:r>
    </w:p>
  </w:endnote>
  <w:endnote w:type="continuationSeparator" w:id="0">
    <w:p w14:paraId="54F516ED" w14:textId="77777777" w:rsidR="00B25A59" w:rsidRDefault="00B25A5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782D0" w14:textId="77777777" w:rsidR="00B25A59" w:rsidRDefault="00B25A59" w:rsidP="002558D8">
      <w:pPr>
        <w:spacing w:line="240" w:lineRule="auto"/>
      </w:pPr>
      <w:r>
        <w:separator/>
      </w:r>
    </w:p>
  </w:footnote>
  <w:footnote w:type="continuationSeparator" w:id="0">
    <w:p w14:paraId="4221E0BA" w14:textId="77777777" w:rsidR="00B25A59" w:rsidRDefault="00B25A5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7"/>
  </w:num>
  <w:num w:numId="6">
    <w:abstractNumId w:val="5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19"/>
  </w:num>
  <w:num w:numId="17">
    <w:abstractNumId w:val="18"/>
  </w:num>
  <w:num w:numId="18">
    <w:abstractNumId w:val="13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49B1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D6DB9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92045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A59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7DE3"/>
    <w:rsid w:val="00E72DF9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F02029"/>
    <w:rsid w:val="00F043B7"/>
    <w:rsid w:val="00F04907"/>
    <w:rsid w:val="00F06E5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E73C3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2200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3059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2022-01-11T13:17:00Z</dcterms:created>
  <dcterms:modified xsi:type="dcterms:W3CDTF">2022-02-08T08:33:00Z</dcterms:modified>
</cp:coreProperties>
</file>