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E3F8613" w:rsidR="007C34AB" w:rsidRPr="00386BC4" w:rsidRDefault="007C34AB" w:rsidP="007C34AB">
      <w:pPr>
        <w:ind w:right="417"/>
        <w:rPr>
          <w:rFonts w:eastAsia="Calibri" w:cstheme="minorHAnsi"/>
          <w:b/>
        </w:rPr>
      </w:pPr>
      <w:r w:rsidRPr="00386BC4">
        <w:rPr>
          <w:rFonts w:eastAsia="Calibri" w:cstheme="minorHAnsi"/>
          <w:b/>
        </w:rPr>
        <w:t xml:space="preserve">DETERMINA N. </w:t>
      </w:r>
      <w:r w:rsidR="00386BC4" w:rsidRPr="00386BC4">
        <w:rPr>
          <w:rFonts w:eastAsia="Calibri" w:cstheme="minorHAnsi"/>
          <w:b/>
        </w:rPr>
        <w:t>54</w:t>
      </w:r>
      <w:r w:rsidR="001C1FD9">
        <w:rPr>
          <w:rFonts w:eastAsia="Calibri" w:cstheme="minorHAnsi"/>
          <w:b/>
        </w:rPr>
        <w:t>5</w:t>
      </w:r>
      <w:r w:rsidRPr="00386BC4">
        <w:rPr>
          <w:rFonts w:eastAsia="Calibri" w:cstheme="minorHAnsi"/>
          <w:b/>
        </w:rPr>
        <w:t xml:space="preserve"> DEL </w:t>
      </w:r>
      <w:r w:rsidR="00386BC4" w:rsidRPr="00386BC4">
        <w:rPr>
          <w:rFonts w:eastAsia="Calibri" w:cstheme="minorHAnsi"/>
          <w:b/>
        </w:rPr>
        <w:t>28/09</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07134ADF"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sidR="00AF2BFE" w:rsidRPr="00AF2BFE">
              <w:rPr>
                <w:rFonts w:eastAsia="Calibri" w:cstheme="minorHAnsi"/>
                <w:b/>
                <w:bCs/>
              </w:rPr>
              <w:t>N. 4 Qubit 4 quantitation starter kit with wifi</w:t>
            </w:r>
            <w:r w:rsidR="00AF2BFE">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AF2BFE" w:rsidRPr="00AF2BFE">
              <w:rPr>
                <w:rFonts w:eastAsia="Calibri" w:cstheme="minorHAnsi"/>
                <w:b/>
                <w:bCs/>
              </w:rPr>
              <w:t>1838725</w:t>
            </w:r>
            <w:r w:rsidRPr="00D11708">
              <w:rPr>
                <w:rFonts w:eastAsia="Calibri" w:cstheme="minorHAnsi"/>
                <w:b/>
                <w:bCs/>
              </w:rPr>
              <w:t xml:space="preserve">, per un importo contrattuale pari a € </w:t>
            </w:r>
            <w:r w:rsidR="00AF2BFE" w:rsidRPr="00AF2BFE">
              <w:rPr>
                <w:rFonts w:eastAsia="Calibri" w:cstheme="minorHAnsi"/>
                <w:b/>
                <w:bCs/>
              </w:rPr>
              <w:t>9.511,60</w:t>
            </w:r>
            <w:r w:rsidR="00AF2BFE" w:rsidRPr="00AF2BFE">
              <w:rPr>
                <w:rFonts w:eastAsia="Calibri" w:cstheme="minorHAnsi"/>
                <w:b/>
                <w:bCs/>
              </w:rPr>
              <w:t xml:space="preserve"> </w:t>
            </w:r>
            <w:r w:rsidRPr="00D11708">
              <w:rPr>
                <w:rFonts w:eastAsia="Calibri" w:cstheme="minorHAnsi"/>
                <w:b/>
                <w:bCs/>
              </w:rPr>
              <w:t xml:space="preserve">(IVA esclusa), CIG </w:t>
            </w:r>
            <w:r w:rsidR="00AF2BFE" w:rsidRPr="00AF2BFE">
              <w:rPr>
                <w:rFonts w:eastAsia="Calibri" w:cstheme="minorHAnsi"/>
                <w:b/>
                <w:bCs/>
              </w:rPr>
              <w:t>ZE3332815A</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w:t>
            </w:r>
            <w:r>
              <w:rPr>
                <w:rFonts w:ascii="Calibri" w:eastAsia="Calibri" w:hAnsi="Calibri" w:cs="Calibri"/>
                <w:i/>
              </w:rPr>
              <w:lastRenderedPageBreak/>
              <w:t>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41B9EA0D"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r w:rsidR="003B63F4">
              <w:rPr>
                <w:rFonts w:ascii="Times-Bold" w:eastAsia="Times New Roman" w:hAnsi="Times-Bold" w:cs="Times-Bold"/>
                <w:b/>
                <w:bCs/>
                <w:szCs w:val="24"/>
              </w:rPr>
              <w:t>Life Technologies Italia</w:t>
            </w:r>
            <w:r w:rsidRPr="00DF7CB6">
              <w:rPr>
                <w:rFonts w:ascii="Calibri" w:eastAsia="Times New Roman" w:hAnsi="Calibri" w:cs="Calibri"/>
                <w:b/>
                <w:bCs/>
                <w:szCs w:val="24"/>
              </w:rPr>
              <w:t>.</w:t>
            </w:r>
            <w:r>
              <w:rPr>
                <w:rFonts w:ascii="Calibri" w:eastAsia="Times New Roman" w:hAnsi="Calibri" w:cs="Calibri"/>
                <w:b/>
                <w:bCs/>
                <w:szCs w:val="24"/>
              </w:rPr>
              <w:t xml:space="preserve"> </w:t>
            </w:r>
            <w:r w:rsidRPr="00C168E5">
              <w:rPr>
                <w:rFonts w:ascii="Calibri" w:eastAsia="Times New Roman" w:hAnsi="Calibri" w:cs="Calibri"/>
                <w:szCs w:val="24"/>
              </w:rPr>
              <w:t xml:space="preserve">per le esigenze relative </w:t>
            </w:r>
            <w:r w:rsidRPr="00C168E5">
              <w:rPr>
                <w:rFonts w:ascii="Calibri" w:eastAsia="Times New Roman" w:hAnsi="Calibri" w:cs="Calibri"/>
                <w:szCs w:val="24"/>
              </w:rPr>
              <w:lastRenderedPageBreak/>
              <w:t>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6B21505C"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sidR="003B63F4" w:rsidRPr="003B63F4">
              <w:rPr>
                <w:rFonts w:eastAsia="Calibri" w:cstheme="minorHAnsi"/>
                <w:b/>
                <w:bCs/>
              </w:rPr>
              <w:t>N. 4 Qubit 4 quantitation starter kit with wifi</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003B63F4">
              <w:rPr>
                <w:rFonts w:ascii="Times-Bold" w:eastAsia="Times New Roman" w:hAnsi="Times-Bold" w:cs="Times-Bold"/>
                <w:b/>
                <w:bCs/>
                <w:szCs w:val="24"/>
              </w:rPr>
              <w:t>Life Technologies Italia</w:t>
            </w:r>
            <w:r>
              <w:rPr>
                <w:rFonts w:ascii="Calibri" w:eastAsia="Times New Roman" w:hAnsi="Calibri" w:cs="Calibri"/>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C168E5">
        <w:tc>
          <w:tcPr>
            <w:tcW w:w="2003" w:type="dxa"/>
            <w:hideMark/>
          </w:tcPr>
          <w:p w14:paraId="454D47D0"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40C8E143" w14:textId="12A91287" w:rsidR="006A392F" w:rsidRDefault="006A392F" w:rsidP="003B63F4">
            <w:pPr>
              <w:autoSpaceDE w:val="0"/>
              <w:autoSpaceDN w:val="0"/>
              <w:adjustRightInd w:val="0"/>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 non essendo disponibili nel repertorio nazionale prodotti con caratteristiche che garantiscano soluzioni equivalenti in termini di prestazioni e/o requisiti funzionali, per i seguenti motivi di natura tecnica correlati a specifiche indicazioni di risultato e/o di natura diagnostico-terapeutica</w:t>
            </w:r>
            <w:r w:rsidR="003B63F4">
              <w:rPr>
                <w:rFonts w:ascii="Calibri" w:eastAsia="Calibri" w:hAnsi="Calibri" w:cs="Calibri"/>
                <w:bCs/>
              </w:rPr>
              <w:t xml:space="preserve"> </w:t>
            </w:r>
            <w:r w:rsidR="003B63F4">
              <w:rPr>
                <w:rFonts w:ascii="Times-Roman" w:eastAsia="Times New Roman" w:hAnsi="Times-Roman" w:cs="Times-Roman"/>
                <w:szCs w:val="24"/>
              </w:rPr>
              <w:t>che non consentono</w:t>
            </w:r>
            <w:r w:rsidR="003B63F4">
              <w:rPr>
                <w:rFonts w:ascii="Times-Roman" w:eastAsia="Times New Roman" w:hAnsi="Times-Roman" w:cs="Times-Roman"/>
                <w:szCs w:val="24"/>
              </w:rPr>
              <w:t xml:space="preserve"> </w:t>
            </w:r>
            <w:r w:rsidR="003B63F4">
              <w:rPr>
                <w:rFonts w:ascii="Times-Roman" w:eastAsia="Times New Roman" w:hAnsi="Times-Roman" w:cs="Times-Roman"/>
                <w:szCs w:val="24"/>
              </w:rPr>
              <w:t>l’applicazione dell’art. 68, comma 7, del D. Lgs. 50/2016 e ss.mm.ii.:</w:t>
            </w:r>
            <w:r>
              <w:rPr>
                <w:rFonts w:ascii="Calibri" w:eastAsia="Calibri" w:hAnsi="Calibri" w:cs="Calibri"/>
                <w:bCs/>
              </w:rPr>
              <w:t xml:space="preserve"> (si allega dichiarazione);</w:t>
            </w: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6A392F" w:rsidRDefault="006A392F" w:rsidP="006A392F">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C168E5">
        <w:trPr>
          <w:trHeight w:val="757"/>
        </w:trPr>
        <w:tc>
          <w:tcPr>
            <w:tcW w:w="2003"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868" w:type="dxa"/>
            <w:hideMark/>
          </w:tcPr>
          <w:p w14:paraId="5597803E" w14:textId="02784C35" w:rsidR="006A392F" w:rsidRDefault="006A392F" w:rsidP="006A392F">
            <w:pPr>
              <w:spacing w:line="256" w:lineRule="auto"/>
              <w:ind w:left="-57"/>
              <w:jc w:val="both"/>
              <w:rPr>
                <w:rFonts w:cstheme="minorHAnsi"/>
                <w:i/>
                <w:color w:val="000000"/>
              </w:rPr>
            </w:pPr>
            <w:r>
              <w:rPr>
                <w:rFonts w:eastAsia="Calibri" w:cstheme="minorHAnsi"/>
              </w:rPr>
              <w:t xml:space="preserve">l’offerta dell’operatore n. </w:t>
            </w:r>
            <w:r w:rsidR="003B63F4" w:rsidRPr="003B63F4">
              <w:rPr>
                <w:rFonts w:eastAsia="Calibri" w:cstheme="minorHAnsi"/>
                <w:b/>
                <w:bCs/>
              </w:rPr>
              <w:t>S4468936</w:t>
            </w:r>
            <w:r w:rsidR="003B63F4" w:rsidRPr="003B63F4">
              <w:rPr>
                <w:rFonts w:eastAsia="Calibri" w:cstheme="minorHAnsi"/>
                <w:b/>
                <w:bCs/>
              </w:rPr>
              <w:t xml:space="preserve"> </w:t>
            </w:r>
            <w:r w:rsidRPr="0097177A">
              <w:rPr>
                <w:rFonts w:eastAsia="Calibri" w:cstheme="minorHAnsi"/>
                <w:b/>
                <w:bCs/>
              </w:rPr>
              <w:t xml:space="preserve">del </w:t>
            </w:r>
            <w:r w:rsidR="003B63F4">
              <w:rPr>
                <w:rFonts w:eastAsia="Calibri" w:cstheme="minorHAnsi"/>
                <w:b/>
                <w:bCs/>
              </w:rPr>
              <w:t>13/09</w:t>
            </w:r>
            <w:r w:rsidRPr="0097177A">
              <w:rPr>
                <w:rFonts w:eastAsia="Calibri" w:cstheme="minorHAnsi"/>
                <w:b/>
                <w:bCs/>
              </w:rPr>
              <w:t>/2021</w:t>
            </w:r>
            <w:r>
              <w:rPr>
                <w:rFonts w:eastAsia="Calibri" w:cstheme="minorHAnsi"/>
              </w:rPr>
              <w:t xml:space="preserve"> 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7F979118"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3B63F4">
              <w:rPr>
                <w:rFonts w:cstheme="minorHAnsi"/>
                <w:b/>
                <w:bCs/>
              </w:rPr>
              <w:t>9.511,60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483E2BD0"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D.Lgs. 50/2016, per le seguenti ragioni della comprovata solidità del fornitore e in considerazione del seguente miglioramento del prezzo da parte dell’Operatore del </w:t>
            </w:r>
            <w:r w:rsidR="003B63F4">
              <w:rPr>
                <w:rFonts w:eastAsia="Calibri" w:cstheme="minorHAnsi"/>
                <w:b/>
                <w:bCs/>
              </w:rPr>
              <w:t>14</w:t>
            </w:r>
            <w:r w:rsidRPr="0097177A">
              <w:rPr>
                <w:rFonts w:eastAsia="Calibri" w:cstheme="minorHAnsi"/>
                <w:b/>
                <w:bCs/>
              </w:rPr>
              <w:t>%,</w:t>
            </w:r>
            <w:r>
              <w:rPr>
                <w:rFonts w:eastAsia="Calibri" w:cstheme="minorHAnsi"/>
              </w:rPr>
              <w:t xml:space="preserve"> 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2CE3DDD6"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3B63F4" w:rsidRPr="003B63F4">
        <w:rPr>
          <w:rFonts w:eastAsia="Times New Roman" w:cs="Calibri"/>
          <w:b/>
          <w:bCs/>
          <w:szCs w:val="24"/>
        </w:rPr>
        <w:t>LIFE TECHNOLOGIES ITALIA</w:t>
      </w:r>
      <w:r w:rsidR="00CE1368">
        <w:rPr>
          <w:rFonts w:cstheme="minorHAnsi"/>
          <w:b/>
        </w:rPr>
        <w:t>,</w:t>
      </w:r>
      <w:r>
        <w:rPr>
          <w:rFonts w:cstheme="minorHAnsi"/>
          <w:bCs/>
        </w:rPr>
        <w:t xml:space="preserve"> per un importo complessivo delle prestazioni pari ad </w:t>
      </w:r>
      <w:r w:rsidRPr="0097177A">
        <w:rPr>
          <w:rFonts w:cstheme="minorHAnsi"/>
          <w:b/>
        </w:rPr>
        <w:t xml:space="preserve">€ </w:t>
      </w:r>
      <w:r w:rsidR="003B63F4">
        <w:rPr>
          <w:rFonts w:cstheme="minorHAnsi"/>
          <w:b/>
        </w:rPr>
        <w:t>11.604,15</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3B63F4">
        <w:rPr>
          <w:rFonts w:cstheme="minorHAnsi"/>
          <w:b/>
        </w:rPr>
        <w:t>9.511,60</w:t>
      </w:r>
      <w:r w:rsidRPr="0097177A">
        <w:rPr>
          <w:rFonts w:cstheme="minorHAnsi"/>
          <w:b/>
        </w:rPr>
        <w:t xml:space="preserve"> + IVA pari a € </w:t>
      </w:r>
      <w:r w:rsidR="003B63F4">
        <w:rPr>
          <w:rFonts w:cstheme="minorHAnsi"/>
          <w:b/>
        </w:rPr>
        <w:t>2.092,55</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Bold">
    <w:altName w:val="Times"/>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swiss"/>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1FD9"/>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B63F4"/>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AF2BFE"/>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1649</Words>
  <Characters>9870</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2021-04-20T10:17:00Z</cp:lastPrinted>
  <dcterms:created xsi:type="dcterms:W3CDTF">2021-09-28T16:06:00Z</dcterms:created>
  <dcterms:modified xsi:type="dcterms:W3CDTF">2021-09-28T16:23:00Z</dcterms:modified>
</cp:coreProperties>
</file>