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B79974F" w:rsidR="007C34AB" w:rsidRPr="00386BC4" w:rsidRDefault="007C34AB" w:rsidP="007C34AB">
      <w:pPr>
        <w:ind w:right="417"/>
        <w:rPr>
          <w:rFonts w:eastAsia="Calibri" w:cstheme="minorHAnsi"/>
          <w:b/>
        </w:rPr>
      </w:pPr>
      <w:r w:rsidRPr="00386BC4">
        <w:rPr>
          <w:rFonts w:eastAsia="Calibri" w:cstheme="minorHAnsi"/>
          <w:b/>
        </w:rPr>
        <w:t xml:space="preserve">DETERMINA N. </w:t>
      </w:r>
      <w:r w:rsidR="004F061F">
        <w:rPr>
          <w:rFonts w:eastAsia="Calibri" w:cstheme="minorHAnsi"/>
          <w:b/>
        </w:rPr>
        <w:t>81</w:t>
      </w:r>
      <w:r w:rsidR="002C73EE">
        <w:rPr>
          <w:rFonts w:eastAsia="Calibri" w:cstheme="minorHAnsi"/>
          <w:b/>
        </w:rPr>
        <w:t>2</w:t>
      </w:r>
      <w:r w:rsidRPr="00386BC4">
        <w:rPr>
          <w:rFonts w:eastAsia="Calibri" w:cstheme="minorHAnsi"/>
          <w:b/>
        </w:rPr>
        <w:t xml:space="preserve"> DEL </w:t>
      </w:r>
      <w:r w:rsidR="00E22106">
        <w:rPr>
          <w:rFonts w:eastAsia="Calibri" w:cstheme="minorHAnsi"/>
          <w:b/>
        </w:rPr>
        <w:t>15/12</w:t>
      </w:r>
      <w:r w:rsidRPr="00386BC4">
        <w:rPr>
          <w:rFonts w:eastAsia="Calibri" w:cstheme="minorHAnsi"/>
          <w:b/>
        </w:rPr>
        <w:t>/202</w:t>
      </w:r>
      <w:r w:rsidR="00D22D33" w:rsidRPr="00386BC4">
        <w:rPr>
          <w:rFonts w:eastAsia="Calibri" w:cstheme="minorHAnsi"/>
          <w:b/>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447"/>
        <w:gridCol w:w="8383"/>
      </w:tblGrid>
      <w:tr w:rsidR="007C34AB" w14:paraId="520BDE10" w14:textId="77777777" w:rsidTr="00D11708">
        <w:trPr>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46E1E17E" w:rsidR="007C34AB" w:rsidRDefault="00D11708">
            <w:pPr>
              <w:autoSpaceDE w:val="0"/>
              <w:jc w:val="both"/>
              <w:rPr>
                <w:rFonts w:eastAsia="Calibri" w:cstheme="minorHAnsi"/>
                <w:bCs/>
                <w:i/>
                <w:lang w:eastAsia="en-US"/>
              </w:rPr>
            </w:pPr>
            <w:r w:rsidRPr="00D11708">
              <w:rPr>
                <w:rFonts w:eastAsia="Calibri" w:cstheme="minorHAnsi"/>
                <w:b/>
                <w:bCs/>
              </w:rPr>
              <w:t>Determina per l’affidamento diretto di</w:t>
            </w:r>
            <w:r w:rsidR="000D3ED2">
              <w:rPr>
                <w:rFonts w:eastAsia="Calibri" w:cstheme="minorHAnsi"/>
                <w:b/>
                <w:bCs/>
              </w:rPr>
              <w:t xml:space="preserve"> </w:t>
            </w:r>
            <w:r w:rsidR="002B5B03" w:rsidRPr="002B5B03">
              <w:rPr>
                <w:rFonts w:eastAsia="Calibri" w:cstheme="minorHAnsi"/>
                <w:b/>
                <w:bCs/>
              </w:rPr>
              <w:t>MACCHINARI E ATTREZZATURE SCIENTIFICHE</w:t>
            </w:r>
            <w:r w:rsidR="002B5B03">
              <w:rPr>
                <w:rFonts w:eastAsia="Calibri" w:cstheme="minorHAnsi"/>
                <w:b/>
                <w:bCs/>
              </w:rPr>
              <w:t xml:space="preserve"> (COME DA ELENCO  IN ALLEGATO)</w:t>
            </w:r>
            <w:r w:rsidR="000D3ED2">
              <w:rPr>
                <w:rFonts w:eastAsia="Calibri" w:cstheme="minorHAnsi"/>
                <w:b/>
                <w:bCs/>
              </w:rPr>
              <w:t xml:space="preserve"> </w:t>
            </w:r>
            <w:r w:rsidRPr="00D11708">
              <w:rPr>
                <w:rFonts w:eastAsia="Calibri" w:cstheme="minorHAnsi"/>
                <w:b/>
                <w:bCs/>
              </w:rPr>
              <w:t>ai sensi dell’art. 36, comma 2, lettera a) del D.Lgs. 50/2016, mediante Trattativa Diretta sul Mercato Elettronico della Pubblica Amministrazione (MEPA)</w:t>
            </w:r>
            <w:r w:rsidR="002F0C8E">
              <w:rPr>
                <w:rFonts w:eastAsia="Calibri" w:cstheme="minorHAnsi"/>
                <w:b/>
                <w:bCs/>
              </w:rPr>
              <w:t xml:space="preserve"> n. </w:t>
            </w:r>
            <w:r w:rsidR="002C73EE" w:rsidRPr="002C73EE">
              <w:rPr>
                <w:rFonts w:eastAsia="Calibri" w:cstheme="minorHAnsi"/>
                <w:b/>
                <w:bCs/>
              </w:rPr>
              <w:t>1963865</w:t>
            </w:r>
            <w:r w:rsidRPr="00D11708">
              <w:rPr>
                <w:rFonts w:eastAsia="Calibri" w:cstheme="minorHAnsi"/>
                <w:b/>
                <w:bCs/>
              </w:rPr>
              <w:t xml:space="preserve">, per un importo contrattuale pari a € </w:t>
            </w:r>
            <w:r w:rsidR="002C73EE">
              <w:rPr>
                <w:rFonts w:eastAsia="Calibri" w:cstheme="minorHAnsi"/>
                <w:b/>
                <w:bCs/>
              </w:rPr>
              <w:t>6.766,56</w:t>
            </w:r>
            <w:r w:rsidRPr="00D11708">
              <w:rPr>
                <w:rFonts w:eastAsia="Calibri" w:cstheme="minorHAnsi"/>
                <w:b/>
                <w:bCs/>
              </w:rPr>
              <w:t xml:space="preserve"> (IVA esclusa), CIG </w:t>
            </w:r>
            <w:r w:rsidR="002C73EE" w:rsidRPr="002C73EE">
              <w:rPr>
                <w:rFonts w:eastAsia="Calibri" w:cstheme="minorHAnsi"/>
                <w:b/>
                <w:bCs/>
              </w:rPr>
              <w:t>Z57346CA6B</w:t>
            </w:r>
            <w:r w:rsidRPr="00D11708">
              <w:rPr>
                <w:rFonts w:eastAsia="Calibri" w:cstheme="minorHAnsi"/>
                <w:b/>
                <w:bCs/>
              </w:rPr>
              <w:t>, CUP: E65D18000840006</w:t>
            </w:r>
          </w:p>
        </w:tc>
      </w:tr>
      <w:tr w:rsidR="00DF7CB6" w14:paraId="4E25ACB6" w14:textId="77777777" w:rsidTr="00D11708">
        <w:trPr>
          <w:trHeight w:val="761"/>
        </w:trPr>
        <w:tc>
          <w:tcPr>
            <w:tcW w:w="1447" w:type="dxa"/>
          </w:tcPr>
          <w:p w14:paraId="165DC14C" w14:textId="77777777" w:rsidR="00DF7CB6" w:rsidRDefault="00DF7CB6">
            <w:pPr>
              <w:autoSpaceDE w:val="0"/>
              <w:jc w:val="both"/>
              <w:rPr>
                <w:rFonts w:eastAsia="Calibri" w:cstheme="minorHAnsi"/>
                <w:b/>
              </w:rPr>
            </w:pPr>
          </w:p>
        </w:tc>
        <w:tc>
          <w:tcPr>
            <w:tcW w:w="8383" w:type="dxa"/>
          </w:tcPr>
          <w:p w14:paraId="25CD403A" w14:textId="77777777" w:rsidR="00DF7CB6" w:rsidRPr="00D11708" w:rsidRDefault="00DF7CB6">
            <w:pPr>
              <w:autoSpaceDE w:val="0"/>
              <w:jc w:val="both"/>
              <w:rPr>
                <w:rFonts w:eastAsia="Calibri" w:cstheme="minorHAnsi"/>
                <w:b/>
                <w:bCs/>
              </w:rPr>
            </w:pPr>
          </w:p>
        </w:tc>
      </w:tr>
    </w:tbl>
    <w:p w14:paraId="161DE2C1" w14:textId="77777777" w:rsidR="00D11708" w:rsidRDefault="00D11708" w:rsidP="00D11708">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D11708" w14:paraId="7297A49E" w14:textId="77777777" w:rsidTr="00C168E5">
        <w:tc>
          <w:tcPr>
            <w:tcW w:w="2003"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868" w:type="dxa"/>
            <w:hideMark/>
          </w:tcPr>
          <w:p w14:paraId="0AC69DC2" w14:textId="3608845B" w:rsidR="00D11708" w:rsidRDefault="00D11708">
            <w:pPr>
              <w:spacing w:line="256" w:lineRule="auto"/>
              <w:ind w:left="-57"/>
              <w:jc w:val="both"/>
              <w:rPr>
                <w:rFonts w:ascii="Calibri" w:eastAsia="Calibri" w:hAnsi="Calibri" w:cs="Calibri"/>
              </w:rPr>
            </w:pPr>
            <w:r>
              <w:rPr>
                <w:rFonts w:ascii="Calibri" w:eastAsia="Calibri" w:hAnsi="Calibri" w:cs="Calibri"/>
              </w:rPr>
              <w:t>il D. Lgs. 50 del 18 aprile 2016 e s.m.i.;</w:t>
            </w:r>
          </w:p>
          <w:p w14:paraId="7FCA570B" w14:textId="77777777" w:rsidR="006A392F" w:rsidRDefault="006A392F">
            <w:pPr>
              <w:spacing w:line="256" w:lineRule="auto"/>
              <w:ind w:left="-57"/>
              <w:jc w:val="both"/>
              <w:rPr>
                <w:rFonts w:ascii="Calibri" w:eastAsia="Calibri" w:hAnsi="Calibri" w:cs="Calibri"/>
              </w:rPr>
            </w:pPr>
          </w:p>
          <w:p w14:paraId="03D6A522" w14:textId="77777777" w:rsidR="0073782E" w:rsidRDefault="0073782E">
            <w:pPr>
              <w:spacing w:line="256" w:lineRule="auto"/>
              <w:ind w:left="-57"/>
              <w:jc w:val="both"/>
              <w:rPr>
                <w:rFonts w:ascii="Calibri" w:eastAsia="Calibri" w:hAnsi="Calibri" w:cs="Calibri"/>
              </w:rPr>
            </w:pPr>
          </w:p>
          <w:p w14:paraId="34E4483B" w14:textId="08D58EDF" w:rsidR="0073782E" w:rsidRDefault="0073782E">
            <w:pPr>
              <w:spacing w:line="256" w:lineRule="auto"/>
              <w:ind w:left="-57"/>
              <w:jc w:val="both"/>
              <w:rPr>
                <w:rFonts w:eastAsia="Calibri" w:cstheme="minorHAnsi"/>
              </w:rPr>
            </w:pPr>
          </w:p>
        </w:tc>
        <w:tc>
          <w:tcPr>
            <w:tcW w:w="9623" w:type="dxa"/>
          </w:tcPr>
          <w:p w14:paraId="34B3D8F9" w14:textId="77777777" w:rsidR="00D11708" w:rsidRDefault="00D11708">
            <w:pPr>
              <w:spacing w:line="256" w:lineRule="auto"/>
              <w:ind w:left="-57"/>
              <w:jc w:val="both"/>
              <w:rPr>
                <w:rFonts w:eastAsia="Calibri" w:cstheme="minorHAnsi"/>
              </w:rPr>
            </w:pPr>
          </w:p>
        </w:tc>
      </w:tr>
      <w:tr w:rsidR="006A392F" w14:paraId="5E11BF95" w14:textId="77777777" w:rsidTr="00C168E5">
        <w:tc>
          <w:tcPr>
            <w:tcW w:w="2003" w:type="dxa"/>
          </w:tcPr>
          <w:p w14:paraId="2901C85C" w14:textId="27F9E3D3" w:rsidR="006A392F" w:rsidRDefault="006A392F">
            <w:pPr>
              <w:spacing w:line="256" w:lineRule="auto"/>
              <w:rPr>
                <w:rFonts w:eastAsia="Calibri" w:cstheme="minorHAnsi"/>
                <w:b/>
              </w:rPr>
            </w:pPr>
            <w:r>
              <w:rPr>
                <w:rFonts w:eastAsia="Calibri" w:cstheme="minorHAnsi"/>
                <w:b/>
              </w:rPr>
              <w:t>VISTO</w:t>
            </w:r>
          </w:p>
        </w:tc>
        <w:tc>
          <w:tcPr>
            <w:tcW w:w="7868" w:type="dxa"/>
          </w:tcPr>
          <w:p w14:paraId="44704198" w14:textId="4D01D310" w:rsidR="006A392F" w:rsidRDefault="006A392F">
            <w:pPr>
              <w:spacing w:line="256" w:lineRule="auto"/>
              <w:ind w:left="-57"/>
              <w:jc w:val="both"/>
              <w:rPr>
                <w:rFonts w:ascii="Calibri" w:eastAsia="Calibri" w:hAnsi="Calibri" w:cs="Calibri"/>
              </w:rPr>
            </w:pPr>
            <w:r w:rsidRPr="006A392F">
              <w:rPr>
                <w:rFonts w:ascii="Calibri" w:eastAsia="Calibri" w:hAnsi="Calibri" w:cs="Calibri"/>
              </w:rPr>
              <w:t>l’art 1, comma 2, lett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 …..servizi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c>
          <w:tcPr>
            <w:tcW w:w="9623" w:type="dxa"/>
          </w:tcPr>
          <w:p w14:paraId="21914BB2" w14:textId="77777777" w:rsidR="006A392F" w:rsidRDefault="006A392F">
            <w:pPr>
              <w:spacing w:line="256" w:lineRule="auto"/>
              <w:ind w:left="-57"/>
              <w:jc w:val="both"/>
              <w:rPr>
                <w:rFonts w:eastAsia="Calibri" w:cstheme="minorHAnsi"/>
              </w:rPr>
            </w:pPr>
          </w:p>
        </w:tc>
      </w:tr>
      <w:tr w:rsidR="006A392F" w14:paraId="7BACE112" w14:textId="77777777" w:rsidTr="00C168E5">
        <w:tc>
          <w:tcPr>
            <w:tcW w:w="2003" w:type="dxa"/>
            <w:hideMark/>
          </w:tcPr>
          <w:p w14:paraId="3E932B46" w14:textId="115031F5" w:rsidR="006A392F" w:rsidRDefault="006A392F" w:rsidP="006A392F">
            <w:pPr>
              <w:spacing w:line="256" w:lineRule="auto"/>
              <w:rPr>
                <w:rFonts w:eastAsia="Calibri" w:cstheme="minorHAnsi"/>
              </w:rPr>
            </w:pPr>
            <w:r>
              <w:rPr>
                <w:rFonts w:eastAsia="Calibri" w:cstheme="minorHAnsi"/>
                <w:b/>
              </w:rPr>
              <w:t xml:space="preserve"> VISTO</w:t>
            </w:r>
          </w:p>
        </w:tc>
        <w:tc>
          <w:tcPr>
            <w:tcW w:w="7868" w:type="dxa"/>
            <w:hideMark/>
          </w:tcPr>
          <w:p w14:paraId="2EEFE93C" w14:textId="2EE384FC" w:rsidR="006A392F" w:rsidRDefault="006A392F" w:rsidP="006A392F">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6A392F" w:rsidRDefault="006A392F" w:rsidP="006A392F">
            <w:pPr>
              <w:spacing w:line="256" w:lineRule="auto"/>
              <w:jc w:val="both"/>
              <w:rPr>
                <w:rFonts w:eastAsia="Calibri" w:cstheme="minorHAnsi"/>
              </w:rPr>
            </w:pPr>
          </w:p>
        </w:tc>
      </w:tr>
      <w:tr w:rsidR="006A392F" w14:paraId="5BA55DE3" w14:textId="77777777" w:rsidTr="00C168E5">
        <w:tc>
          <w:tcPr>
            <w:tcW w:w="2003" w:type="dxa"/>
            <w:hideMark/>
          </w:tcPr>
          <w:p w14:paraId="32436FA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01FBDF9" w14:textId="77777777" w:rsidR="006A392F" w:rsidRDefault="006A392F" w:rsidP="006A392F">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 xml:space="preserve">Fermo restando quanto previsto dagli articoli 37 e 38 e salva la possibilità di ricorrere alle procedure ordinarie, le stazioni appaltanti procedono </w:t>
            </w:r>
            <w:r>
              <w:rPr>
                <w:rFonts w:ascii="Calibri" w:eastAsia="Calibri" w:hAnsi="Calibri" w:cs="Calibri"/>
                <w:i/>
              </w:rPr>
              <w:lastRenderedPageBreak/>
              <w:t>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6A392F" w:rsidRDefault="006A392F" w:rsidP="006A392F">
            <w:pPr>
              <w:spacing w:line="256" w:lineRule="auto"/>
              <w:jc w:val="both"/>
              <w:rPr>
                <w:rFonts w:eastAsia="Calibri" w:cstheme="minorHAnsi"/>
              </w:rPr>
            </w:pPr>
          </w:p>
        </w:tc>
      </w:tr>
      <w:tr w:rsidR="006A392F" w14:paraId="4110AD40" w14:textId="77777777" w:rsidTr="00C168E5">
        <w:tc>
          <w:tcPr>
            <w:tcW w:w="2003" w:type="dxa"/>
            <w:hideMark/>
          </w:tcPr>
          <w:p w14:paraId="720FC3D9"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61D95BBC" w14:textId="77777777" w:rsidR="006A392F" w:rsidRDefault="006A392F" w:rsidP="006A392F">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6A392F" w:rsidRDefault="006A392F" w:rsidP="006A392F">
            <w:pPr>
              <w:spacing w:line="256" w:lineRule="auto"/>
              <w:jc w:val="both"/>
              <w:rPr>
                <w:rFonts w:asciiTheme="minorHAnsi" w:eastAsia="Calibri" w:hAnsiTheme="minorHAnsi" w:cstheme="minorHAnsi"/>
              </w:rPr>
            </w:pPr>
          </w:p>
        </w:tc>
      </w:tr>
      <w:tr w:rsidR="006A392F" w14:paraId="2D94976A" w14:textId="77777777" w:rsidTr="00C168E5">
        <w:tc>
          <w:tcPr>
            <w:tcW w:w="2003" w:type="dxa"/>
            <w:hideMark/>
          </w:tcPr>
          <w:p w14:paraId="37D338DB" w14:textId="77777777" w:rsidR="006A392F" w:rsidRDefault="006A392F" w:rsidP="006A392F">
            <w:pPr>
              <w:spacing w:line="256" w:lineRule="auto"/>
              <w:rPr>
                <w:rFonts w:eastAsia="Calibri" w:cstheme="minorHAnsi"/>
                <w:b/>
              </w:rPr>
            </w:pPr>
            <w:r>
              <w:rPr>
                <w:rFonts w:eastAsia="Calibri" w:cstheme="minorHAnsi"/>
                <w:b/>
              </w:rPr>
              <w:t>VISTE</w:t>
            </w:r>
          </w:p>
        </w:tc>
        <w:tc>
          <w:tcPr>
            <w:tcW w:w="7868" w:type="dxa"/>
            <w:hideMark/>
          </w:tcPr>
          <w:p w14:paraId="3D3903C6"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623" w:type="dxa"/>
          </w:tcPr>
          <w:p w14:paraId="4F529114" w14:textId="77777777" w:rsidR="006A392F" w:rsidRDefault="006A392F" w:rsidP="006A392F">
            <w:pPr>
              <w:spacing w:line="256" w:lineRule="auto"/>
              <w:ind w:left="-57"/>
              <w:jc w:val="both"/>
              <w:rPr>
                <w:rFonts w:asciiTheme="minorHAnsi" w:eastAsia="Calibri" w:hAnsiTheme="minorHAnsi" w:cstheme="minorHAnsi"/>
              </w:rPr>
            </w:pPr>
          </w:p>
        </w:tc>
      </w:tr>
      <w:tr w:rsidR="006A392F" w14:paraId="6C8CFDFA" w14:textId="77777777" w:rsidTr="00C168E5">
        <w:tc>
          <w:tcPr>
            <w:tcW w:w="2003" w:type="dxa"/>
            <w:hideMark/>
          </w:tcPr>
          <w:p w14:paraId="38818D9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5D2253D1"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623" w:type="dxa"/>
          </w:tcPr>
          <w:p w14:paraId="08F650F8" w14:textId="77777777" w:rsidR="006A392F" w:rsidRDefault="006A392F" w:rsidP="006A392F">
            <w:pPr>
              <w:spacing w:line="256" w:lineRule="auto"/>
              <w:ind w:left="-57"/>
              <w:jc w:val="both"/>
              <w:rPr>
                <w:rFonts w:asciiTheme="minorHAnsi" w:eastAsia="Calibri" w:hAnsiTheme="minorHAnsi" w:cstheme="minorHAnsi"/>
              </w:rPr>
            </w:pPr>
          </w:p>
        </w:tc>
      </w:tr>
      <w:tr w:rsidR="006A392F" w14:paraId="38198877" w14:textId="77777777" w:rsidTr="00C168E5">
        <w:tc>
          <w:tcPr>
            <w:tcW w:w="2003" w:type="dxa"/>
            <w:hideMark/>
          </w:tcPr>
          <w:p w14:paraId="77F84F63"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0C0A74A4" w14:textId="1BD59573" w:rsidR="006A392F" w:rsidRDefault="006A392F" w:rsidP="006A392F">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08296BCF" w14:textId="77777777" w:rsidR="006A392F" w:rsidRDefault="006A392F" w:rsidP="006A392F">
            <w:pPr>
              <w:spacing w:line="256" w:lineRule="auto"/>
              <w:ind w:left="-57"/>
              <w:jc w:val="both"/>
              <w:rPr>
                <w:rFonts w:eastAsia="Calibri" w:cstheme="minorHAnsi"/>
              </w:rPr>
            </w:pPr>
          </w:p>
        </w:tc>
      </w:tr>
      <w:tr w:rsidR="006A392F" w14:paraId="18DE5129" w14:textId="77777777" w:rsidTr="00C168E5">
        <w:tc>
          <w:tcPr>
            <w:tcW w:w="2003" w:type="dxa"/>
            <w:hideMark/>
          </w:tcPr>
          <w:p w14:paraId="33EF5E29"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0FC08DD" w14:textId="77777777" w:rsidR="006A392F" w:rsidRDefault="006A392F" w:rsidP="006A392F">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6A392F" w:rsidRDefault="006A392F" w:rsidP="006A392F">
            <w:pPr>
              <w:spacing w:line="256" w:lineRule="auto"/>
              <w:ind w:left="-57"/>
              <w:jc w:val="both"/>
              <w:rPr>
                <w:rFonts w:asciiTheme="minorHAnsi" w:eastAsia="Calibri" w:hAnsiTheme="minorHAnsi" w:cstheme="minorHAnsi"/>
              </w:rPr>
            </w:pPr>
          </w:p>
        </w:tc>
      </w:tr>
      <w:tr w:rsidR="006A392F" w14:paraId="344DD2E6" w14:textId="77777777" w:rsidTr="00C168E5">
        <w:tc>
          <w:tcPr>
            <w:tcW w:w="2003" w:type="dxa"/>
            <w:hideMark/>
          </w:tcPr>
          <w:p w14:paraId="1B4EA4E4" w14:textId="5F7E9E78" w:rsidR="006A392F" w:rsidRDefault="006A392F" w:rsidP="006A392F">
            <w:pPr>
              <w:spacing w:line="256" w:lineRule="auto"/>
              <w:rPr>
                <w:rFonts w:eastAsia="Calibri" w:cstheme="minorHAnsi"/>
                <w:b/>
              </w:rPr>
            </w:pPr>
            <w:r>
              <w:rPr>
                <w:rFonts w:eastAsia="Calibri" w:cstheme="minorHAnsi"/>
                <w:b/>
              </w:rPr>
              <w:t xml:space="preserve">VISTA </w:t>
            </w:r>
          </w:p>
        </w:tc>
        <w:tc>
          <w:tcPr>
            <w:tcW w:w="7868" w:type="dxa"/>
            <w:hideMark/>
          </w:tcPr>
          <w:p w14:paraId="33188E8E" w14:textId="6B2EA80A" w:rsidR="006A392F" w:rsidRDefault="006A392F" w:rsidP="006A392F">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richiesta di acquisto a firma del </w:t>
            </w:r>
            <w:r w:rsidRPr="00DF7CB6">
              <w:rPr>
                <w:rFonts w:ascii="Calibri" w:eastAsia="Times New Roman" w:hAnsi="Calibri" w:cs="Calibri"/>
                <w:b/>
                <w:bCs/>
                <w:szCs w:val="24"/>
              </w:rPr>
              <w:t>prof. Tommaso Russo</w:t>
            </w:r>
            <w:r>
              <w:rPr>
                <w:rFonts w:ascii="Calibri" w:eastAsia="Times New Roman" w:hAnsi="Calibri" w:cs="Calibri"/>
                <w:szCs w:val="24"/>
              </w:rPr>
              <w:t xml:space="preserve">, a mezzo della quale si rappresentava la necessità di acquistare la fornitura di </w:t>
            </w:r>
            <w:r w:rsidRPr="00E22106">
              <w:rPr>
                <w:rFonts w:ascii="Calibri" w:eastAsia="Times New Roman" w:hAnsi="Calibri" w:cs="Calibri"/>
                <w:b/>
                <w:bCs/>
                <w:szCs w:val="24"/>
              </w:rPr>
              <w:t>ATTREZZATURE SCIENTIFICHE</w:t>
            </w:r>
            <w:r>
              <w:rPr>
                <w:rFonts w:ascii="Calibri" w:eastAsia="Times New Roman" w:hAnsi="Calibri" w:cs="Calibri"/>
                <w:szCs w:val="24"/>
              </w:rPr>
              <w:t xml:space="preserve"> </w:t>
            </w:r>
            <w:r w:rsidRPr="00C168E5">
              <w:rPr>
                <w:rFonts w:ascii="Calibri" w:eastAsia="Times New Roman" w:hAnsi="Calibri" w:cs="Calibri"/>
                <w:szCs w:val="24"/>
              </w:rPr>
              <w:t>per le esigenze relative alle attività di ricerca da condurre</w:t>
            </w:r>
            <w:r>
              <w:rPr>
                <w:rFonts w:ascii="Calibri" w:eastAsia="Times New Roman" w:hAnsi="Calibri" w:cs="Calibri"/>
                <w:szCs w:val="24"/>
              </w:rPr>
              <w:t xml:space="preserve"> </w:t>
            </w:r>
            <w:r w:rsidRPr="00C168E5">
              <w:rPr>
                <w:rFonts w:ascii="Calibri" w:eastAsia="Times New Roman" w:hAnsi="Calibri" w:cs="Calibri"/>
                <w:szCs w:val="24"/>
              </w:rPr>
              <w:lastRenderedPageBreak/>
              <w:t>nell’ambito del progetto</w:t>
            </w:r>
            <w:r>
              <w:rPr>
                <w:rFonts w:ascii="Calibri" w:eastAsia="Times New Roman" w:hAnsi="Calibri" w:cs="Calibri"/>
                <w:szCs w:val="24"/>
              </w:rPr>
              <w:t xml:space="preserve"> </w:t>
            </w:r>
            <w:r w:rsidRPr="00DF7CB6">
              <w:rPr>
                <w:rFonts w:ascii="Calibri" w:eastAsia="Times New Roman" w:hAnsi="Calibri" w:cs="Calibri"/>
                <w:b/>
                <w:bCs/>
                <w:szCs w:val="24"/>
              </w:rPr>
              <w:t>000016_DIPMMBM_DIPARTIMENTI_DI_ECCELLENZA</w:t>
            </w:r>
            <w:r>
              <w:rPr>
                <w:rFonts w:ascii="Calibri" w:eastAsia="Calibri" w:hAnsi="Calibri" w:cs="Calibri"/>
              </w:rPr>
              <w:t>;</w:t>
            </w:r>
          </w:p>
        </w:tc>
        <w:tc>
          <w:tcPr>
            <w:tcW w:w="9623" w:type="dxa"/>
          </w:tcPr>
          <w:p w14:paraId="50219B40" w14:textId="77777777" w:rsidR="006A392F" w:rsidRDefault="006A392F" w:rsidP="006A392F">
            <w:pPr>
              <w:spacing w:line="256" w:lineRule="auto"/>
              <w:ind w:left="-57"/>
              <w:jc w:val="both"/>
              <w:rPr>
                <w:rFonts w:asciiTheme="minorHAnsi" w:eastAsia="Calibri" w:hAnsiTheme="minorHAnsi" w:cstheme="minorHAnsi"/>
              </w:rPr>
            </w:pPr>
          </w:p>
        </w:tc>
      </w:tr>
      <w:tr w:rsidR="006A392F" w14:paraId="522A8C18" w14:textId="77777777" w:rsidTr="00C168E5">
        <w:tc>
          <w:tcPr>
            <w:tcW w:w="2003" w:type="dxa"/>
            <w:hideMark/>
          </w:tcPr>
          <w:p w14:paraId="28A0839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30E42C7D" w14:textId="75CE60AA" w:rsidR="0064408F" w:rsidRPr="00E22106" w:rsidRDefault="006A392F" w:rsidP="00E22106">
            <w:pPr>
              <w:spacing w:line="256" w:lineRule="auto"/>
              <w:jc w:val="both"/>
              <w:rPr>
                <w:rFonts w:ascii="Calibri" w:eastAsia="Calibri" w:hAnsi="Calibri" w:cs="Calibri"/>
                <w:b/>
              </w:rPr>
            </w:pPr>
            <w:r>
              <w:rPr>
                <w:rFonts w:ascii="Calibri" w:eastAsia="Calibri" w:hAnsi="Calibri" w:cs="Calibri"/>
                <w:bCs/>
              </w:rPr>
              <w:t xml:space="preserve">pertanto, della necessità di affidare la fornitura di </w:t>
            </w:r>
            <w:r w:rsidR="00E22106" w:rsidRPr="00E22106">
              <w:rPr>
                <w:rFonts w:ascii="Calibri" w:eastAsia="Calibri" w:hAnsi="Calibri" w:cs="Calibri"/>
                <w:b/>
              </w:rPr>
              <w:t>MACCHINARI E ATTREZZATURE SCIENTIFICHE</w:t>
            </w:r>
            <w:r w:rsidR="00E22106">
              <w:rPr>
                <w:rFonts w:ascii="Calibri" w:eastAsia="Calibri" w:hAnsi="Calibri" w:cs="Calibri"/>
                <w:b/>
              </w:rPr>
              <w:t xml:space="preserve"> </w:t>
            </w:r>
            <w:r w:rsidR="00E22106" w:rsidRPr="00E22106">
              <w:rPr>
                <w:rFonts w:ascii="Calibri" w:eastAsia="Calibri" w:hAnsi="Calibri" w:cs="Calibri"/>
                <w:bCs/>
              </w:rPr>
              <w:t>e</w:t>
            </w:r>
            <w:r w:rsidR="00E22106">
              <w:rPr>
                <w:rFonts w:ascii="Calibri" w:eastAsia="Calibri" w:hAnsi="Calibri" w:cs="Calibri"/>
                <w:b/>
              </w:rPr>
              <w:t xml:space="preserve"> </w:t>
            </w:r>
            <w:r w:rsidR="0002287A" w:rsidRPr="00E22106">
              <w:rPr>
                <w:rFonts w:cs="Calibri"/>
                <w:bCs/>
              </w:rPr>
              <w:t>visto il riscontro pervenuto, nei limiti di tempo concessi, da alcune ditte interpellate in esito alla conduzione di una indagine di mercato finalizzata ad ottenere le migliori condizioni economiche, ai fini di un successivo affidamento mediante il criterio del minor prezzo</w:t>
            </w:r>
          </w:p>
        </w:tc>
        <w:tc>
          <w:tcPr>
            <w:tcW w:w="9623" w:type="dxa"/>
          </w:tcPr>
          <w:p w14:paraId="3C8B96F2" w14:textId="77777777" w:rsidR="006A392F" w:rsidRDefault="006A392F" w:rsidP="006A392F">
            <w:pPr>
              <w:spacing w:line="256" w:lineRule="auto"/>
              <w:ind w:left="-57"/>
              <w:jc w:val="both"/>
              <w:rPr>
                <w:rFonts w:asciiTheme="minorHAnsi" w:eastAsia="Calibri" w:hAnsiTheme="minorHAnsi" w:cstheme="minorHAnsi"/>
              </w:rPr>
            </w:pPr>
          </w:p>
        </w:tc>
      </w:tr>
      <w:tr w:rsidR="006A392F" w14:paraId="61184A24" w14:textId="77777777" w:rsidTr="0002287A">
        <w:tc>
          <w:tcPr>
            <w:tcW w:w="2003" w:type="dxa"/>
          </w:tcPr>
          <w:p w14:paraId="454D47D0" w14:textId="0C0916B2" w:rsidR="006A392F" w:rsidRDefault="006A392F" w:rsidP="006A392F">
            <w:pPr>
              <w:spacing w:line="256" w:lineRule="auto"/>
              <w:rPr>
                <w:rFonts w:eastAsia="Calibri" w:cstheme="minorHAnsi"/>
                <w:b/>
              </w:rPr>
            </w:pPr>
          </w:p>
        </w:tc>
        <w:tc>
          <w:tcPr>
            <w:tcW w:w="7868" w:type="dxa"/>
          </w:tcPr>
          <w:p w14:paraId="40C8E143" w14:textId="237CF67E" w:rsidR="006A392F" w:rsidRDefault="006A392F" w:rsidP="00937FA8">
            <w:pPr>
              <w:autoSpaceDE w:val="0"/>
              <w:autoSpaceDN w:val="0"/>
              <w:adjustRightInd w:val="0"/>
              <w:rPr>
                <w:rFonts w:ascii="Calibri" w:eastAsia="Calibri" w:hAnsi="Calibri" w:cs="Calibri"/>
                <w:b/>
                <w:bCs/>
              </w:rPr>
            </w:pPr>
          </w:p>
        </w:tc>
        <w:tc>
          <w:tcPr>
            <w:tcW w:w="9623" w:type="dxa"/>
          </w:tcPr>
          <w:p w14:paraId="757693FD" w14:textId="77777777" w:rsidR="006A392F" w:rsidRDefault="006A392F" w:rsidP="006A392F">
            <w:pPr>
              <w:spacing w:line="256" w:lineRule="auto"/>
              <w:ind w:left="-57"/>
              <w:jc w:val="both"/>
              <w:rPr>
                <w:rFonts w:asciiTheme="minorHAnsi" w:eastAsia="Calibri" w:hAnsiTheme="minorHAnsi" w:cstheme="minorHAnsi"/>
              </w:rPr>
            </w:pPr>
          </w:p>
        </w:tc>
      </w:tr>
      <w:tr w:rsidR="006A392F" w14:paraId="36215534" w14:textId="77777777" w:rsidTr="00C168E5">
        <w:tc>
          <w:tcPr>
            <w:tcW w:w="2003" w:type="dxa"/>
            <w:hideMark/>
          </w:tcPr>
          <w:p w14:paraId="7BE1436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0BE2ED8E" w14:textId="23B11C1F"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6A392F" w:rsidRDefault="006A392F" w:rsidP="006A392F">
            <w:pPr>
              <w:spacing w:line="256" w:lineRule="auto"/>
              <w:ind w:left="-57"/>
              <w:jc w:val="both"/>
              <w:rPr>
                <w:rFonts w:asciiTheme="minorHAnsi" w:eastAsia="Calibri" w:hAnsiTheme="minorHAnsi" w:cstheme="minorHAnsi"/>
              </w:rPr>
            </w:pPr>
          </w:p>
        </w:tc>
      </w:tr>
      <w:tr w:rsidR="006A392F" w14:paraId="0607A421" w14:textId="77777777" w:rsidTr="00C168E5">
        <w:tc>
          <w:tcPr>
            <w:tcW w:w="2003" w:type="dxa"/>
            <w:hideMark/>
          </w:tcPr>
          <w:p w14:paraId="37CE8D13" w14:textId="77777777" w:rsidR="006A392F" w:rsidRDefault="006A392F" w:rsidP="006A392F">
            <w:pPr>
              <w:widowControl w:val="0"/>
              <w:spacing w:line="256" w:lineRule="auto"/>
              <w:jc w:val="both"/>
              <w:rPr>
                <w:rFonts w:cstheme="minorHAnsi"/>
                <w:b/>
              </w:rPr>
            </w:pPr>
            <w:r>
              <w:rPr>
                <w:rFonts w:cstheme="minorHAnsi"/>
                <w:b/>
              </w:rPr>
              <w:t>VERIFICATO</w:t>
            </w:r>
          </w:p>
        </w:tc>
        <w:tc>
          <w:tcPr>
            <w:tcW w:w="7868" w:type="dxa"/>
            <w:hideMark/>
          </w:tcPr>
          <w:p w14:paraId="0A06DBEF" w14:textId="7AB5FDC2" w:rsidR="006A392F" w:rsidRDefault="006A392F" w:rsidP="006A392F">
            <w:pPr>
              <w:spacing w:line="256" w:lineRule="auto"/>
              <w:jc w:val="both"/>
              <w:rPr>
                <w:rFonts w:ascii="Calibri" w:eastAsia="Calibri" w:hAnsi="Calibri" w:cs="Calibri"/>
              </w:rPr>
            </w:pPr>
            <w:r w:rsidRPr="00325000">
              <w:rPr>
                <w:rFonts w:eastAsia="Calibri" w:cstheme="minorHAnsi"/>
              </w:rPr>
              <w:t>che dett</w:t>
            </w:r>
            <w:r>
              <w:rPr>
                <w:rFonts w:eastAsia="Calibri" w:cstheme="minorHAnsi"/>
              </w:rPr>
              <w:t>a</w:t>
            </w:r>
            <w:r w:rsidRPr="00325000">
              <w:rPr>
                <w:rFonts w:eastAsia="Calibri" w:cstheme="minorHAnsi"/>
              </w:rPr>
              <w:t xml:space="preserve"> </w:t>
            </w:r>
            <w:r>
              <w:rPr>
                <w:rFonts w:eastAsia="Calibri" w:cstheme="minorHAnsi"/>
              </w:rPr>
              <w:t xml:space="preserve">strumentazione </w:t>
            </w:r>
            <w:r w:rsidRPr="00325000">
              <w:rPr>
                <w:rFonts w:eastAsia="Calibri" w:cstheme="minorHAnsi"/>
              </w:rPr>
              <w:t>non è disponibile sul Mercato Elettronico delle P.A. tra le</w:t>
            </w:r>
            <w:r>
              <w:rPr>
                <w:rFonts w:eastAsia="Calibri" w:cstheme="minorHAnsi"/>
              </w:rPr>
              <w:t xml:space="preserve"> </w:t>
            </w:r>
            <w:r w:rsidRPr="00325000">
              <w:rPr>
                <w:rFonts w:eastAsia="Calibri" w:cstheme="minorHAnsi"/>
              </w:rPr>
              <w:t>offerte presentate</w:t>
            </w:r>
            <w:r>
              <w:rPr>
                <w:rFonts w:eastAsia="Calibri" w:cstheme="minorHAnsi"/>
              </w:rPr>
              <w:t>;</w:t>
            </w:r>
            <w:r>
              <w:rPr>
                <w:rFonts w:ascii="Calibri" w:eastAsia="Calibri" w:hAnsi="Calibri" w:cs="Calibri"/>
              </w:rPr>
              <w:t xml:space="preserve"> </w:t>
            </w:r>
          </w:p>
        </w:tc>
        <w:tc>
          <w:tcPr>
            <w:tcW w:w="9623" w:type="dxa"/>
          </w:tcPr>
          <w:p w14:paraId="443024FC" w14:textId="77777777" w:rsidR="006A392F" w:rsidRDefault="006A392F" w:rsidP="006A392F">
            <w:pPr>
              <w:widowControl w:val="0"/>
              <w:spacing w:line="256" w:lineRule="auto"/>
              <w:jc w:val="both"/>
              <w:rPr>
                <w:rFonts w:asciiTheme="minorHAnsi" w:hAnsiTheme="minorHAnsi" w:cstheme="minorHAnsi"/>
              </w:rPr>
            </w:pPr>
          </w:p>
        </w:tc>
      </w:tr>
      <w:tr w:rsidR="006A392F" w14:paraId="35A60D36" w14:textId="77777777" w:rsidTr="00C168E5">
        <w:tc>
          <w:tcPr>
            <w:tcW w:w="2003" w:type="dxa"/>
            <w:hideMark/>
          </w:tcPr>
          <w:p w14:paraId="6E302B86" w14:textId="77777777" w:rsidR="006A392F" w:rsidRDefault="006A392F" w:rsidP="006A392F">
            <w:pPr>
              <w:widowControl w:val="0"/>
              <w:spacing w:line="256" w:lineRule="auto"/>
              <w:jc w:val="both"/>
              <w:rPr>
                <w:rFonts w:cstheme="minorHAnsi"/>
                <w:b/>
              </w:rPr>
            </w:pPr>
            <w:r>
              <w:rPr>
                <w:rFonts w:cstheme="minorHAnsi"/>
                <w:b/>
              </w:rPr>
              <w:t>TENUTO CONTO</w:t>
            </w:r>
          </w:p>
        </w:tc>
        <w:tc>
          <w:tcPr>
            <w:tcW w:w="7868" w:type="dxa"/>
            <w:hideMark/>
          </w:tcPr>
          <w:p w14:paraId="4902B3F5" w14:textId="55FB1221" w:rsidR="006A392F" w:rsidRDefault="006A392F" w:rsidP="006A392F">
            <w:pPr>
              <w:spacing w:line="256" w:lineRule="auto"/>
              <w:jc w:val="both"/>
              <w:rPr>
                <w:rFonts w:eastAsia="Calibri" w:cstheme="minorHAnsi"/>
              </w:rPr>
            </w:pPr>
            <w:r>
              <w:rPr>
                <w:rFonts w:eastAsia="Calibri" w:cstheme="minorHAnsi"/>
              </w:rPr>
              <w:t>Si è ritenuto procedere all’acquisizione in discorso mediante lo strumento della Trattativa Diretta nell’ambito del Mercato elettronico della Pubblica Amministrazione (ME.PA);</w:t>
            </w:r>
          </w:p>
        </w:tc>
        <w:tc>
          <w:tcPr>
            <w:tcW w:w="9623" w:type="dxa"/>
          </w:tcPr>
          <w:p w14:paraId="07BE96A6" w14:textId="77777777" w:rsidR="006A392F" w:rsidRDefault="006A392F" w:rsidP="006A392F">
            <w:pPr>
              <w:widowControl w:val="0"/>
              <w:spacing w:line="256" w:lineRule="auto"/>
              <w:jc w:val="both"/>
              <w:rPr>
                <w:rFonts w:cstheme="minorHAnsi"/>
              </w:rPr>
            </w:pPr>
          </w:p>
        </w:tc>
      </w:tr>
      <w:tr w:rsidR="006A392F" w14:paraId="6982C8E8" w14:textId="77777777" w:rsidTr="00C168E5">
        <w:tc>
          <w:tcPr>
            <w:tcW w:w="2003" w:type="dxa"/>
            <w:hideMark/>
          </w:tcPr>
          <w:p w14:paraId="1ABE39BE"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EB9E540" w14:textId="718D1E46" w:rsidR="006A392F" w:rsidRDefault="006A392F" w:rsidP="006A392F">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E22106">
              <w:rPr>
                <w:rFonts w:ascii="Calibri" w:eastAsia="Calibri" w:hAnsi="Calibri" w:cs="Calibri"/>
              </w:rPr>
              <w:t>6</w:t>
            </w:r>
            <w:r>
              <w:rPr>
                <w:rFonts w:ascii="Calibri" w:eastAsia="Calibri" w:hAnsi="Calibri" w:cs="Calibri"/>
              </w:rPr>
              <w:t xml:space="preserve"> mesi;</w:t>
            </w:r>
          </w:p>
        </w:tc>
        <w:tc>
          <w:tcPr>
            <w:tcW w:w="9623" w:type="dxa"/>
          </w:tcPr>
          <w:p w14:paraId="0C9C76B6" w14:textId="77777777" w:rsidR="006A392F" w:rsidRDefault="006A392F" w:rsidP="006A392F">
            <w:pPr>
              <w:spacing w:line="256" w:lineRule="auto"/>
              <w:ind w:left="-57"/>
              <w:jc w:val="both"/>
              <w:rPr>
                <w:rFonts w:eastAsia="Calibri" w:cstheme="minorHAnsi"/>
              </w:rPr>
            </w:pPr>
          </w:p>
        </w:tc>
      </w:tr>
      <w:tr w:rsidR="006A392F" w14:paraId="54BF9578" w14:textId="77777777" w:rsidTr="00C168E5">
        <w:tc>
          <w:tcPr>
            <w:tcW w:w="2003" w:type="dxa"/>
            <w:hideMark/>
          </w:tcPr>
          <w:p w14:paraId="59624D3D"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2B39F8A6" w14:textId="77777777" w:rsidR="006A392F" w:rsidRDefault="006A392F" w:rsidP="006A392F">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623" w:type="dxa"/>
          </w:tcPr>
          <w:p w14:paraId="6A04C9D3" w14:textId="77777777" w:rsidR="006A392F" w:rsidRDefault="006A392F" w:rsidP="006A392F">
            <w:pPr>
              <w:spacing w:line="256" w:lineRule="auto"/>
              <w:ind w:left="-57"/>
              <w:jc w:val="both"/>
              <w:rPr>
                <w:rFonts w:eastAsia="Calibri" w:cstheme="minorHAnsi"/>
              </w:rPr>
            </w:pPr>
          </w:p>
        </w:tc>
      </w:tr>
      <w:tr w:rsidR="006A392F" w14:paraId="23483FF9" w14:textId="77777777" w:rsidTr="00C168E5">
        <w:tc>
          <w:tcPr>
            <w:tcW w:w="2003" w:type="dxa"/>
            <w:hideMark/>
          </w:tcPr>
          <w:p w14:paraId="3C434CB7"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7CE2DAF9" w14:textId="77777777" w:rsidR="006A392F" w:rsidRDefault="006A392F" w:rsidP="006A392F">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6A392F" w:rsidRDefault="006A392F" w:rsidP="006A392F">
            <w:pPr>
              <w:spacing w:line="256" w:lineRule="auto"/>
              <w:ind w:left="-57"/>
              <w:jc w:val="both"/>
              <w:rPr>
                <w:rFonts w:eastAsia="Calibri" w:cstheme="minorHAnsi"/>
              </w:rPr>
            </w:pPr>
          </w:p>
        </w:tc>
      </w:tr>
      <w:tr w:rsidR="006A392F" w14:paraId="0486331F" w14:textId="77777777" w:rsidTr="00C168E5">
        <w:trPr>
          <w:trHeight w:val="404"/>
        </w:trPr>
        <w:tc>
          <w:tcPr>
            <w:tcW w:w="2003" w:type="dxa"/>
            <w:hideMark/>
          </w:tcPr>
          <w:p w14:paraId="25CB0355"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784B9F7A" w14:textId="77777777" w:rsidR="006A392F" w:rsidRDefault="006A392F" w:rsidP="006A392F">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6A392F" w:rsidRDefault="006A392F" w:rsidP="006A392F">
            <w:pPr>
              <w:spacing w:line="256" w:lineRule="auto"/>
              <w:ind w:left="-57"/>
              <w:jc w:val="both"/>
              <w:rPr>
                <w:rFonts w:eastAsia="Calibri" w:cstheme="minorHAnsi"/>
              </w:rPr>
            </w:pPr>
          </w:p>
        </w:tc>
      </w:tr>
      <w:tr w:rsidR="006A392F" w14:paraId="47BAEEE3" w14:textId="77777777" w:rsidTr="00C168E5">
        <w:trPr>
          <w:trHeight w:val="757"/>
        </w:trPr>
        <w:tc>
          <w:tcPr>
            <w:tcW w:w="2003" w:type="dxa"/>
            <w:hideMark/>
          </w:tcPr>
          <w:p w14:paraId="01091C83" w14:textId="77777777" w:rsidR="006A392F" w:rsidRDefault="006A392F" w:rsidP="006A392F">
            <w:pPr>
              <w:spacing w:line="256" w:lineRule="auto"/>
              <w:rPr>
                <w:rFonts w:eastAsia="Calibri" w:cstheme="minorHAnsi"/>
                <w:b/>
              </w:rPr>
            </w:pPr>
            <w:r>
              <w:rPr>
                <w:rFonts w:eastAsia="Calibri" w:cstheme="minorHAnsi"/>
                <w:b/>
              </w:rPr>
              <w:t xml:space="preserve">ACQUISITA </w:t>
            </w:r>
          </w:p>
        </w:tc>
        <w:tc>
          <w:tcPr>
            <w:tcW w:w="7868" w:type="dxa"/>
            <w:hideMark/>
          </w:tcPr>
          <w:p w14:paraId="5597803E" w14:textId="48E57910" w:rsidR="006A392F" w:rsidRDefault="006A392F" w:rsidP="006A392F">
            <w:pPr>
              <w:spacing w:line="256" w:lineRule="auto"/>
              <w:ind w:left="-57"/>
              <w:jc w:val="both"/>
              <w:rPr>
                <w:rFonts w:cstheme="minorHAnsi"/>
                <w:i/>
                <w:color w:val="000000"/>
              </w:rPr>
            </w:pPr>
            <w:r>
              <w:rPr>
                <w:rFonts w:eastAsia="Calibri" w:cstheme="minorHAnsi"/>
              </w:rPr>
              <w:t>l’offerta dell’operatore</w:t>
            </w:r>
            <w:r w:rsidR="00E22106">
              <w:rPr>
                <w:rFonts w:eastAsia="Calibri" w:cstheme="minorHAnsi"/>
              </w:rPr>
              <w:t xml:space="preserve"> </w:t>
            </w:r>
            <w:r w:rsidR="002C73EE" w:rsidRPr="002C73EE">
              <w:rPr>
                <w:rFonts w:eastAsia="Calibri" w:cstheme="minorHAnsi"/>
                <w:b/>
                <w:bCs/>
              </w:rPr>
              <w:t>M &amp; M Biotech S.c.a.r.l.</w:t>
            </w:r>
            <w:r w:rsidR="004F061F">
              <w:rPr>
                <w:rFonts w:eastAsia="Calibri" w:cstheme="minorHAnsi"/>
                <w:b/>
                <w:bCs/>
              </w:rPr>
              <w:t xml:space="preserve"> </w:t>
            </w:r>
            <w:r>
              <w:rPr>
                <w:rFonts w:eastAsia="Calibri" w:cstheme="minorHAnsi"/>
              </w:rPr>
              <w:t xml:space="preserve">n. </w:t>
            </w:r>
            <w:r w:rsidR="002C73EE" w:rsidRPr="002C73EE">
              <w:rPr>
                <w:rFonts w:eastAsia="Calibri" w:cstheme="minorHAnsi"/>
                <w:b/>
                <w:bCs/>
              </w:rPr>
              <w:t>PMM 1473 / 2021</w:t>
            </w:r>
            <w:r w:rsidR="002C73EE">
              <w:rPr>
                <w:rFonts w:eastAsia="Calibri" w:cstheme="minorHAnsi"/>
                <w:b/>
                <w:bCs/>
              </w:rPr>
              <w:t xml:space="preserve"> </w:t>
            </w:r>
            <w:r w:rsidR="00E22106" w:rsidRPr="00E22106">
              <w:rPr>
                <w:rFonts w:eastAsia="Calibri" w:cstheme="minorHAnsi"/>
                <w:b/>
                <w:bCs/>
              </w:rPr>
              <w:t xml:space="preserve">del </w:t>
            </w:r>
            <w:r w:rsidR="002C73EE">
              <w:rPr>
                <w:rFonts w:eastAsia="Calibri" w:cstheme="minorHAnsi"/>
                <w:b/>
                <w:bCs/>
              </w:rPr>
              <w:t>23/11</w:t>
            </w:r>
            <w:r w:rsidR="00E22106" w:rsidRPr="00E22106">
              <w:rPr>
                <w:rFonts w:eastAsia="Calibri" w:cstheme="minorHAnsi"/>
                <w:b/>
                <w:bCs/>
              </w:rPr>
              <w:t xml:space="preserve">/2021 </w:t>
            </w:r>
            <w:r>
              <w:rPr>
                <w:rFonts w:eastAsia="Calibri" w:cstheme="minorHAnsi"/>
              </w:rPr>
              <w:t>destinatario della proposta di negoziazione, nella quale sono stati indicati gli elementi tecnico-economici;</w:t>
            </w:r>
          </w:p>
        </w:tc>
        <w:tc>
          <w:tcPr>
            <w:tcW w:w="9623" w:type="dxa"/>
          </w:tcPr>
          <w:p w14:paraId="301F9C46" w14:textId="77777777" w:rsidR="006A392F" w:rsidRDefault="006A392F" w:rsidP="006A392F">
            <w:pPr>
              <w:spacing w:line="256" w:lineRule="auto"/>
              <w:ind w:left="-57"/>
              <w:jc w:val="both"/>
              <w:rPr>
                <w:rFonts w:eastAsia="Calibri" w:cstheme="minorHAnsi"/>
              </w:rPr>
            </w:pPr>
          </w:p>
        </w:tc>
      </w:tr>
      <w:tr w:rsidR="006A392F" w14:paraId="668DE8A9" w14:textId="77777777" w:rsidTr="00C168E5">
        <w:trPr>
          <w:trHeight w:val="1041"/>
        </w:trPr>
        <w:tc>
          <w:tcPr>
            <w:tcW w:w="2003" w:type="dxa"/>
            <w:hideMark/>
          </w:tcPr>
          <w:p w14:paraId="696B62EA"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57BE8CCA" w14:textId="5B07192D" w:rsidR="006A392F" w:rsidRDefault="006A392F" w:rsidP="006A392F">
            <w:pPr>
              <w:spacing w:line="256" w:lineRule="auto"/>
              <w:ind w:left="-57"/>
              <w:jc w:val="both"/>
              <w:rPr>
                <w:rFonts w:eastAsia="Calibri" w:cstheme="minorHAnsi"/>
              </w:rPr>
            </w:pPr>
            <w:r>
              <w:rPr>
                <w:rFonts w:cstheme="minorHAnsi"/>
                <w:color w:val="000000"/>
              </w:rPr>
              <w:t xml:space="preserve">che le prestazioni offerte dall’operatore di cui sopra, per un importo pari a </w:t>
            </w:r>
            <w:r w:rsidRPr="00700E7F">
              <w:rPr>
                <w:rFonts w:cstheme="minorHAnsi"/>
                <w:b/>
                <w:bCs/>
                <w:color w:val="000000"/>
              </w:rPr>
              <w:t xml:space="preserve">€ </w:t>
            </w:r>
            <w:r w:rsidR="002C73EE">
              <w:rPr>
                <w:rFonts w:cstheme="minorHAnsi"/>
                <w:b/>
                <w:bCs/>
              </w:rPr>
              <w:t>6.766,56</w:t>
            </w:r>
            <w:r>
              <w:rPr>
                <w:rFonts w:cstheme="minorHAnsi"/>
                <w:color w:val="000000"/>
              </w:rPr>
              <w:t xml:space="preserve">, oltre IVA, rispondono ai fabbisogni dell’Amministrazione, 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6A392F" w:rsidRDefault="006A392F" w:rsidP="006A392F">
            <w:pPr>
              <w:spacing w:line="256" w:lineRule="auto"/>
              <w:ind w:left="-57"/>
              <w:jc w:val="both"/>
              <w:rPr>
                <w:rFonts w:eastAsia="Calibri" w:cstheme="minorHAnsi"/>
              </w:rPr>
            </w:pPr>
          </w:p>
        </w:tc>
      </w:tr>
      <w:tr w:rsidR="006A392F" w14:paraId="69743476" w14:textId="77777777" w:rsidTr="00C168E5">
        <w:tc>
          <w:tcPr>
            <w:tcW w:w="2003" w:type="dxa"/>
            <w:hideMark/>
          </w:tcPr>
          <w:p w14:paraId="3B27EDC7"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05D9ADE8" w14:textId="670C8BA5" w:rsidR="006A392F" w:rsidRDefault="006A392F" w:rsidP="006A392F">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D.Lgs. 50/2016, per </w:t>
            </w:r>
            <w:r w:rsidR="0002287A">
              <w:rPr>
                <w:rFonts w:eastAsia="Calibri" w:cstheme="minorHAnsi"/>
              </w:rPr>
              <w:t xml:space="preserve">la </w:t>
            </w:r>
            <w:r>
              <w:rPr>
                <w:rFonts w:eastAsia="Calibri" w:cstheme="minorHAnsi"/>
              </w:rPr>
              <w:t>comprovata solidità del fornitore;</w:t>
            </w:r>
          </w:p>
        </w:tc>
        <w:tc>
          <w:tcPr>
            <w:tcW w:w="9623" w:type="dxa"/>
          </w:tcPr>
          <w:p w14:paraId="0AF1631E" w14:textId="77777777" w:rsidR="006A392F" w:rsidRDefault="006A392F" w:rsidP="006A392F">
            <w:pPr>
              <w:spacing w:line="256" w:lineRule="auto"/>
              <w:ind w:left="-57"/>
              <w:jc w:val="both"/>
              <w:rPr>
                <w:rFonts w:eastAsia="Calibri" w:cstheme="minorHAnsi"/>
              </w:rPr>
            </w:pPr>
          </w:p>
        </w:tc>
      </w:tr>
      <w:tr w:rsidR="006A392F" w14:paraId="25CC38B0" w14:textId="77777777" w:rsidTr="00C168E5">
        <w:tc>
          <w:tcPr>
            <w:tcW w:w="2003" w:type="dxa"/>
            <w:hideMark/>
          </w:tcPr>
          <w:p w14:paraId="2A0D8669"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3EA2111" w14:textId="77777777" w:rsidR="006A392F" w:rsidRDefault="006A392F" w:rsidP="006A392F">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Pr>
                <w:rFonts w:eastAsia="Calibri" w:cstheme="minorHAnsi"/>
                <w:i/>
              </w:rPr>
              <w:lastRenderedPageBreak/>
              <w:t>sottoposti a condizione risolutiva nel caso di disponibilità della detta convenzione</w:t>
            </w:r>
            <w:r>
              <w:rPr>
                <w:rFonts w:eastAsia="Calibri" w:cstheme="minorHAnsi"/>
              </w:rPr>
              <w:t xml:space="preserve">»; </w:t>
            </w:r>
          </w:p>
        </w:tc>
        <w:tc>
          <w:tcPr>
            <w:tcW w:w="9623" w:type="dxa"/>
          </w:tcPr>
          <w:p w14:paraId="2803687D" w14:textId="77777777" w:rsidR="006A392F" w:rsidRDefault="006A392F" w:rsidP="006A392F">
            <w:pPr>
              <w:spacing w:line="256" w:lineRule="auto"/>
              <w:ind w:left="-57"/>
              <w:jc w:val="both"/>
              <w:rPr>
                <w:rFonts w:eastAsia="Calibri" w:cstheme="minorHAnsi"/>
              </w:rPr>
            </w:pPr>
          </w:p>
        </w:tc>
      </w:tr>
      <w:tr w:rsidR="006A392F" w14:paraId="5B16A3E1" w14:textId="77777777" w:rsidTr="00C168E5">
        <w:tc>
          <w:tcPr>
            <w:tcW w:w="2003" w:type="dxa"/>
            <w:hideMark/>
          </w:tcPr>
          <w:p w14:paraId="26A77109" w14:textId="77777777" w:rsidR="006A392F" w:rsidRDefault="006A392F" w:rsidP="006A392F">
            <w:pPr>
              <w:spacing w:line="256" w:lineRule="auto"/>
              <w:rPr>
                <w:rFonts w:eastAsia="Calibri" w:cstheme="minorHAnsi"/>
                <w:b/>
              </w:rPr>
            </w:pPr>
            <w:r>
              <w:rPr>
                <w:rFonts w:cstheme="minorHAnsi"/>
                <w:b/>
                <w:bCs/>
              </w:rPr>
              <w:t>CONSIDERATO</w:t>
            </w:r>
          </w:p>
        </w:tc>
        <w:tc>
          <w:tcPr>
            <w:tcW w:w="7868" w:type="dxa"/>
            <w:hideMark/>
          </w:tcPr>
          <w:p w14:paraId="00A8297C" w14:textId="77777777" w:rsidR="006A392F" w:rsidRDefault="006A392F" w:rsidP="006A392F">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6A392F" w:rsidRDefault="006A392F" w:rsidP="006A392F">
            <w:pPr>
              <w:spacing w:line="256" w:lineRule="auto"/>
              <w:ind w:left="-57"/>
              <w:jc w:val="both"/>
              <w:rPr>
                <w:rFonts w:cstheme="minorHAnsi"/>
                <w:bCs/>
              </w:rPr>
            </w:pPr>
          </w:p>
        </w:tc>
      </w:tr>
      <w:tr w:rsidR="006A392F" w14:paraId="55054B5B" w14:textId="77777777" w:rsidTr="00C168E5">
        <w:tc>
          <w:tcPr>
            <w:tcW w:w="2003" w:type="dxa"/>
            <w:hideMark/>
          </w:tcPr>
          <w:p w14:paraId="0E99CA61" w14:textId="77777777" w:rsidR="006A392F" w:rsidRDefault="006A392F" w:rsidP="006A392F">
            <w:pPr>
              <w:widowControl w:val="0"/>
              <w:spacing w:line="256" w:lineRule="auto"/>
              <w:jc w:val="both"/>
              <w:rPr>
                <w:rFonts w:cstheme="minorHAnsi"/>
                <w:b/>
                <w:bCs/>
              </w:rPr>
            </w:pPr>
            <w:r>
              <w:rPr>
                <w:rFonts w:eastAsia="Calibri" w:cstheme="minorHAnsi"/>
                <w:b/>
              </w:rPr>
              <w:t>CONSIDERATO</w:t>
            </w:r>
          </w:p>
        </w:tc>
        <w:tc>
          <w:tcPr>
            <w:tcW w:w="7868" w:type="dxa"/>
            <w:hideMark/>
          </w:tcPr>
          <w:p w14:paraId="3CF5A456" w14:textId="77777777" w:rsidR="006A392F" w:rsidRDefault="006A392F" w:rsidP="006A392F">
            <w:pPr>
              <w:widowControl w:val="0"/>
              <w:spacing w:line="256" w:lineRule="auto"/>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623" w:type="dxa"/>
          </w:tcPr>
          <w:p w14:paraId="36AE3A74" w14:textId="77777777" w:rsidR="006A392F" w:rsidRDefault="006A392F" w:rsidP="006A392F">
            <w:pPr>
              <w:widowControl w:val="0"/>
              <w:spacing w:line="256" w:lineRule="auto"/>
              <w:jc w:val="both"/>
              <w:rPr>
                <w:rFonts w:eastAsia="Calibri" w:cstheme="minorHAnsi"/>
              </w:rPr>
            </w:pPr>
          </w:p>
        </w:tc>
      </w:tr>
      <w:tr w:rsidR="006A392F" w14:paraId="08EB83B5" w14:textId="77777777" w:rsidTr="00C168E5">
        <w:tc>
          <w:tcPr>
            <w:tcW w:w="2003" w:type="dxa"/>
            <w:hideMark/>
          </w:tcPr>
          <w:p w14:paraId="4728CC62" w14:textId="77777777" w:rsidR="006A392F" w:rsidRDefault="006A392F" w:rsidP="006A392F">
            <w:pPr>
              <w:spacing w:line="256" w:lineRule="auto"/>
              <w:rPr>
                <w:rFonts w:eastAsia="Calibri" w:cstheme="minorHAnsi"/>
                <w:b/>
              </w:rPr>
            </w:pPr>
            <w:r>
              <w:rPr>
                <w:rFonts w:eastAsia="Calibri" w:cstheme="minorHAnsi"/>
                <w:b/>
              </w:rPr>
              <w:t>VISTA</w:t>
            </w:r>
          </w:p>
        </w:tc>
        <w:tc>
          <w:tcPr>
            <w:tcW w:w="7868" w:type="dxa"/>
            <w:hideMark/>
          </w:tcPr>
          <w:p w14:paraId="03359BC7" w14:textId="77777777" w:rsidR="006A392F" w:rsidRDefault="006A392F" w:rsidP="006A392F">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6A392F" w:rsidRDefault="006A392F" w:rsidP="006A392F">
            <w:pPr>
              <w:spacing w:line="256" w:lineRule="auto"/>
              <w:ind w:left="-57"/>
              <w:jc w:val="both"/>
              <w:rPr>
                <w:rFonts w:eastAsia="Calibri" w:cstheme="minorHAnsi"/>
                <w:bCs/>
              </w:rPr>
            </w:pPr>
          </w:p>
        </w:tc>
      </w:tr>
      <w:tr w:rsidR="006A392F" w14:paraId="606C2AF8" w14:textId="77777777" w:rsidTr="00C168E5">
        <w:tc>
          <w:tcPr>
            <w:tcW w:w="2003" w:type="dxa"/>
            <w:hideMark/>
          </w:tcPr>
          <w:p w14:paraId="1CE0C1E1"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757A98D9" w14:textId="77777777" w:rsidR="006A392F" w:rsidRDefault="006A392F" w:rsidP="006A392F">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6A392F" w:rsidRDefault="006A392F" w:rsidP="006A392F">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3F764486"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bookmarkStart w:id="0" w:name="_Hlk83136920"/>
      <w:r w:rsidR="006A2DAE">
        <w:rPr>
          <w:rFonts w:cstheme="minorHAnsi"/>
          <w:bCs/>
        </w:rPr>
        <w:t>ai sensi del</w:t>
      </w:r>
      <w:r w:rsidR="00FA6A35" w:rsidRPr="00FA6A35">
        <w:rPr>
          <w:rFonts w:cstheme="minorHAnsi"/>
          <w:bCs/>
        </w:rPr>
        <w:t>l’art 1, comma 2, lett a) del DL 76 del 16/07/2022</w:t>
      </w:r>
      <w:bookmarkEnd w:id="0"/>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CE1368" w:rsidRPr="00CE1368">
        <w:rPr>
          <w:b/>
          <w:bCs/>
        </w:rPr>
        <w:t>MACCHINARI E ATTREZZATURE SCIENTIFICHE</w:t>
      </w:r>
      <w:r>
        <w:rPr>
          <w:rFonts w:cstheme="minorHAnsi"/>
          <w:bCs/>
        </w:rPr>
        <w:t xml:space="preserve"> all’operatore economico </w:t>
      </w:r>
      <w:r w:rsidR="002C73EE" w:rsidRPr="002C73EE">
        <w:rPr>
          <w:rFonts w:cstheme="minorHAnsi"/>
          <w:b/>
          <w:bCs/>
        </w:rPr>
        <w:t>M &amp; M Biotech S.c.a.r.l.</w:t>
      </w:r>
      <w:r w:rsidR="002C73EE">
        <w:rPr>
          <w:rFonts w:cstheme="minorHAnsi"/>
          <w:b/>
          <w:bCs/>
        </w:rPr>
        <w:t xml:space="preserve"> </w:t>
      </w:r>
      <w:r>
        <w:rPr>
          <w:rFonts w:cstheme="minorHAnsi"/>
          <w:bCs/>
        </w:rPr>
        <w:t xml:space="preserve">per un importo complessivo delle prestazioni pari ad </w:t>
      </w:r>
      <w:r w:rsidRPr="0097177A">
        <w:rPr>
          <w:rFonts w:cstheme="minorHAnsi"/>
          <w:b/>
        </w:rPr>
        <w:t xml:space="preserve">€ </w:t>
      </w:r>
      <w:r w:rsidR="002C73EE">
        <w:rPr>
          <w:rFonts w:cstheme="minorHAnsi"/>
          <w:b/>
        </w:rPr>
        <w:t>8.255,20</w:t>
      </w:r>
      <w:r w:rsidR="0002287A">
        <w:rPr>
          <w:rFonts w:cstheme="minorHAnsi"/>
          <w:b/>
        </w:rPr>
        <w:t xml:space="preserve"> </w:t>
      </w:r>
      <w:r w:rsidRPr="0097177A">
        <w:rPr>
          <w:rFonts w:cstheme="minorHAnsi"/>
          <w:b/>
        </w:rPr>
        <w:t>IVA inclusa</w:t>
      </w:r>
      <w:r>
        <w:rPr>
          <w:rFonts w:cstheme="minorHAnsi"/>
          <w:bCs/>
        </w:rPr>
        <w:t xml:space="preserve"> </w:t>
      </w:r>
      <w:r w:rsidRPr="0097177A">
        <w:rPr>
          <w:rFonts w:cstheme="minorHAnsi"/>
          <w:b/>
        </w:rPr>
        <w:t>(€</w:t>
      </w:r>
      <w:r w:rsidR="0097177A" w:rsidRPr="0097177A">
        <w:rPr>
          <w:rFonts w:cstheme="minorHAnsi"/>
          <w:b/>
        </w:rPr>
        <w:t xml:space="preserve"> </w:t>
      </w:r>
      <w:r w:rsidR="002C73EE">
        <w:rPr>
          <w:rFonts w:cstheme="minorHAnsi"/>
          <w:b/>
        </w:rPr>
        <w:t>6.766,56</w:t>
      </w:r>
      <w:r w:rsidR="00E22106">
        <w:rPr>
          <w:rFonts w:cstheme="minorHAnsi"/>
          <w:b/>
        </w:rPr>
        <w:t xml:space="preserve"> </w:t>
      </w:r>
      <w:r w:rsidRPr="0097177A">
        <w:rPr>
          <w:rFonts w:cstheme="minorHAnsi"/>
          <w:b/>
        </w:rPr>
        <w:t xml:space="preserve">+ IVA pari a € </w:t>
      </w:r>
      <w:r w:rsidR="002C73EE">
        <w:rPr>
          <w:rFonts w:cstheme="minorHAnsi"/>
          <w:b/>
        </w:rPr>
        <w:t>1.488,64</w:t>
      </w:r>
      <w:r w:rsidRPr="0097177A">
        <w:rPr>
          <w:rFonts w:cstheme="minorHAnsi"/>
          <w:b/>
        </w:rPr>
        <w:t>)</w:t>
      </w:r>
      <w:r>
        <w:rPr>
          <w:rFonts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F8DF0E4" w14:textId="7B2497E5"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CE1368">
        <w:t xml:space="preserve">CA.01.10.02.03.01 </w:t>
      </w:r>
      <w:r>
        <w:rPr>
          <w:rFonts w:cstheme="minorHAnsi"/>
          <w:bCs/>
        </w:rPr>
        <w:t xml:space="preserve">del bilancio unico di Ateneo di previsione annuale autorizzatorio per l’esercizio finanziario </w:t>
      </w:r>
      <w:r w:rsidR="00CE1368">
        <w:rPr>
          <w:rFonts w:cstheme="minorHAnsi"/>
          <w:bCs/>
        </w:rPr>
        <w:t>2021</w:t>
      </w:r>
      <w:r w:rsidR="0002287A">
        <w:rPr>
          <w:rFonts w:cstheme="minorHAnsi"/>
          <w:bCs/>
        </w:rPr>
        <w:t xml:space="preserve"> </w:t>
      </w:r>
      <w:r w:rsidR="0002287A" w:rsidRPr="0002287A">
        <w:rPr>
          <w:rFonts w:cstheme="minorHAnsi"/>
          <w:b/>
        </w:rPr>
        <w:t>progetto</w:t>
      </w:r>
      <w:r w:rsidR="0002287A">
        <w:rPr>
          <w:rFonts w:cstheme="minorHAnsi"/>
          <w:bCs/>
        </w:rPr>
        <w:t xml:space="preserve"> </w:t>
      </w:r>
      <w:r w:rsidR="00600375" w:rsidRPr="00600375">
        <w:rPr>
          <w:rFonts w:cstheme="minorHAnsi"/>
          <w:b/>
        </w:rPr>
        <w:t>000016_DIPMMBM_DIPARTIMENTI_DI_ECCELLENZA</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440E0D8E"/>
    <w:multiLevelType w:val="hybridMultilevel"/>
    <w:tmpl w:val="959AE188"/>
    <w:lvl w:ilvl="0" w:tplc="A942CA3A">
      <w:start w:val="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7"/>
  </w:num>
  <w:num w:numId="5">
    <w:abstractNumId w:val="18"/>
  </w:num>
  <w:num w:numId="6">
    <w:abstractNumId w:val="15"/>
  </w:num>
  <w:num w:numId="7">
    <w:abstractNumId w:val="10"/>
  </w:num>
  <w:num w:numId="8">
    <w:abstractNumId w:val="7"/>
  </w:num>
  <w:num w:numId="9">
    <w:abstractNumId w:val="0"/>
  </w:num>
  <w:num w:numId="10">
    <w:abstractNumId w:val="9"/>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
  </w:num>
  <w:num w:numId="19">
    <w:abstractNumId w:val="4"/>
  </w:num>
  <w:num w:numId="20">
    <w:abstractNumId w:val="6"/>
  </w:num>
  <w:num w:numId="21">
    <w:abstractNumId w:val="3"/>
  </w:num>
  <w:num w:numId="22">
    <w:abstractNumId w:val="12"/>
  </w:num>
  <w:num w:numId="23">
    <w:abstractNumId w:val="1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287A"/>
    <w:rsid w:val="000248C4"/>
    <w:rsid w:val="00025124"/>
    <w:rsid w:val="00026508"/>
    <w:rsid w:val="000376DF"/>
    <w:rsid w:val="00044B4E"/>
    <w:rsid w:val="00046CB7"/>
    <w:rsid w:val="000548B4"/>
    <w:rsid w:val="00056C17"/>
    <w:rsid w:val="00063045"/>
    <w:rsid w:val="0008247E"/>
    <w:rsid w:val="00082DE8"/>
    <w:rsid w:val="0008400B"/>
    <w:rsid w:val="00086A05"/>
    <w:rsid w:val="000A7AE7"/>
    <w:rsid w:val="000B366C"/>
    <w:rsid w:val="000C0C14"/>
    <w:rsid w:val="000D29C3"/>
    <w:rsid w:val="000D3ED2"/>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B5B03"/>
    <w:rsid w:val="002C73EE"/>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71EB8"/>
    <w:rsid w:val="003842F4"/>
    <w:rsid w:val="00386BC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4A81"/>
    <w:rsid w:val="004D7B52"/>
    <w:rsid w:val="004E63CA"/>
    <w:rsid w:val="004F061F"/>
    <w:rsid w:val="0050006F"/>
    <w:rsid w:val="005163F4"/>
    <w:rsid w:val="00517DC0"/>
    <w:rsid w:val="005272E5"/>
    <w:rsid w:val="005325A1"/>
    <w:rsid w:val="005361DF"/>
    <w:rsid w:val="0054129A"/>
    <w:rsid w:val="005413C7"/>
    <w:rsid w:val="00542C76"/>
    <w:rsid w:val="00547795"/>
    <w:rsid w:val="0055401D"/>
    <w:rsid w:val="00557E92"/>
    <w:rsid w:val="00560D7F"/>
    <w:rsid w:val="00564BF7"/>
    <w:rsid w:val="0056631D"/>
    <w:rsid w:val="00572999"/>
    <w:rsid w:val="00575C07"/>
    <w:rsid w:val="00586440"/>
    <w:rsid w:val="00586F04"/>
    <w:rsid w:val="005A4DD0"/>
    <w:rsid w:val="005B11B2"/>
    <w:rsid w:val="005B7E94"/>
    <w:rsid w:val="005C011B"/>
    <w:rsid w:val="005C2E7B"/>
    <w:rsid w:val="005C4F0C"/>
    <w:rsid w:val="005E2A83"/>
    <w:rsid w:val="005E746C"/>
    <w:rsid w:val="005F4561"/>
    <w:rsid w:val="00600375"/>
    <w:rsid w:val="006128F2"/>
    <w:rsid w:val="00623C52"/>
    <w:rsid w:val="006400D2"/>
    <w:rsid w:val="006439A3"/>
    <w:rsid w:val="0064408F"/>
    <w:rsid w:val="0065400F"/>
    <w:rsid w:val="006621B9"/>
    <w:rsid w:val="00673128"/>
    <w:rsid w:val="00682669"/>
    <w:rsid w:val="00683403"/>
    <w:rsid w:val="0069525B"/>
    <w:rsid w:val="006A2DAE"/>
    <w:rsid w:val="006A392F"/>
    <w:rsid w:val="006A7797"/>
    <w:rsid w:val="006D31E7"/>
    <w:rsid w:val="006D577F"/>
    <w:rsid w:val="006E1B05"/>
    <w:rsid w:val="006E51AB"/>
    <w:rsid w:val="006E7739"/>
    <w:rsid w:val="006F6838"/>
    <w:rsid w:val="006F7BE9"/>
    <w:rsid w:val="00700E7F"/>
    <w:rsid w:val="0073414A"/>
    <w:rsid w:val="0073782E"/>
    <w:rsid w:val="00742FD8"/>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E2B39"/>
    <w:rsid w:val="007E4E5F"/>
    <w:rsid w:val="007F259A"/>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37FA8"/>
    <w:rsid w:val="00941282"/>
    <w:rsid w:val="0097177A"/>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4005"/>
    <w:rsid w:val="00BF6736"/>
    <w:rsid w:val="00C01426"/>
    <w:rsid w:val="00C04EA1"/>
    <w:rsid w:val="00C1116C"/>
    <w:rsid w:val="00C13841"/>
    <w:rsid w:val="00C168E5"/>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CE1368"/>
    <w:rsid w:val="00CE47A3"/>
    <w:rsid w:val="00D05930"/>
    <w:rsid w:val="00D07AB6"/>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DF7CB6"/>
    <w:rsid w:val="00E00A18"/>
    <w:rsid w:val="00E063C4"/>
    <w:rsid w:val="00E06895"/>
    <w:rsid w:val="00E069E5"/>
    <w:rsid w:val="00E07FFD"/>
    <w:rsid w:val="00E102AC"/>
    <w:rsid w:val="00E13423"/>
    <w:rsid w:val="00E21B3D"/>
    <w:rsid w:val="00E22106"/>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A6A35"/>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36201873">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86335054">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2308527">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61671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428694003">
      <w:bodyDiv w:val="1"/>
      <w:marLeft w:val="0"/>
      <w:marRight w:val="0"/>
      <w:marTop w:val="0"/>
      <w:marBottom w:val="0"/>
      <w:divBdr>
        <w:top w:val="none" w:sz="0" w:space="0" w:color="auto"/>
        <w:left w:val="none" w:sz="0" w:space="0" w:color="auto"/>
        <w:bottom w:val="none" w:sz="0" w:space="0" w:color="auto"/>
        <w:right w:val="none" w:sz="0" w:space="0" w:color="auto"/>
      </w:divBdr>
      <w:divsChild>
        <w:div w:id="429929847">
          <w:marLeft w:val="0"/>
          <w:marRight w:val="0"/>
          <w:marTop w:val="0"/>
          <w:marBottom w:val="0"/>
          <w:divBdr>
            <w:top w:val="none" w:sz="0" w:space="0" w:color="auto"/>
            <w:left w:val="none" w:sz="0" w:space="0" w:color="auto"/>
            <w:bottom w:val="none" w:sz="0" w:space="0" w:color="auto"/>
            <w:right w:val="none" w:sz="0" w:space="0" w:color="auto"/>
          </w:divBdr>
          <w:divsChild>
            <w:div w:id="192991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250644">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129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1583</Words>
  <Characters>9463</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2021-10-06T13:17:00Z</cp:lastPrinted>
  <dcterms:created xsi:type="dcterms:W3CDTF">2021-12-15T12:09:00Z</dcterms:created>
  <dcterms:modified xsi:type="dcterms:W3CDTF">2021-12-15T12:12:00Z</dcterms:modified>
</cp:coreProperties>
</file>