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CB7AF0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56</w:t>
      </w:r>
      <w:r w:rsidR="00D964C5">
        <w:rPr>
          <w:rFonts w:ascii="Calibri" w:eastAsia="Times" w:hAnsi="Calibri" w:cs="Calibri"/>
          <w:b/>
          <w:bCs/>
          <w:iCs/>
          <w:sz w:val="22"/>
          <w:szCs w:val="22"/>
          <w:lang w:eastAsia="it-IT"/>
        </w:rPr>
        <w:t>5</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07/10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17B45C7"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D964C5">
              <w:rPr>
                <w:rFonts w:eastAsia="Calibri" w:cstheme="minorHAnsi"/>
                <w:b/>
                <w:bCs/>
                <w:lang w:eastAsia="it-IT"/>
              </w:rPr>
              <w:t>3.000,</w:t>
            </w:r>
            <w:r w:rsidR="00E628A6">
              <w:rPr>
                <w:rFonts w:eastAsia="Calibri" w:cstheme="minorHAnsi"/>
                <w:b/>
                <w:bCs/>
                <w:lang w:eastAsia="it-IT"/>
              </w:rPr>
              <w:t>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D964C5" w:rsidRPr="00D964C5">
              <w:rPr>
                <w:b/>
                <w:bCs/>
              </w:rPr>
              <w:t>ZEC335B096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4EA629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prof.ssa</w:t>
            </w:r>
            <w:r w:rsidR="00426C2B">
              <w:rPr>
                <w:rFonts w:ascii="Calibri" w:eastAsia="Calibri" w:hAnsi="Calibri" w:cs="Calibri"/>
                <w:lang w:eastAsia="it-IT"/>
              </w:rPr>
              <w:t xml:space="preserve"> </w:t>
            </w:r>
            <w:r w:rsidR="00D964C5">
              <w:rPr>
                <w:rFonts w:ascii="Calibri" w:eastAsia="Calibri" w:hAnsi="Calibri" w:cs="Calibri"/>
                <w:b/>
                <w:bCs/>
                <w:lang w:eastAsia="it-IT"/>
              </w:rPr>
              <w:t xml:space="preserve">PIERANTONI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6A59CC6"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D964C5" w:rsidRPr="00D964C5">
              <w:rPr>
                <w:rFonts w:ascii="Calibri" w:eastAsia="Calibri" w:hAnsi="Calibri" w:cs="Calibri"/>
                <w:b/>
                <w:lang w:eastAsia="it-IT"/>
              </w:rPr>
              <w:t>D.B.A. Italia s.r.l.</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54A78B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D964C5" w:rsidRPr="00D964C5">
              <w:rPr>
                <w:rFonts w:ascii="Calibri" w:eastAsia="Calibri" w:hAnsi="Calibri" w:cs="Calibri"/>
                <w:b/>
                <w:bCs/>
                <w:lang w:eastAsia="it-IT"/>
              </w:rPr>
              <w:t>D.B.A. Italia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B16536D"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D964C5" w:rsidRPr="00D964C5">
              <w:rPr>
                <w:rFonts w:ascii="Calibri" w:eastAsia="Calibri" w:hAnsi="Calibri" w:cs="Calibri"/>
                <w:b/>
                <w:bCs/>
                <w:lang w:eastAsia="it-IT"/>
              </w:rPr>
              <w:t>D.B.A. Italia s.r.l.</w:t>
            </w:r>
            <w:r w:rsidR="00D964C5">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D964C5" w:rsidRPr="00D964C5">
              <w:rPr>
                <w:rFonts w:ascii="Calibri" w:eastAsia="Calibri" w:hAnsi="Calibri" w:cs="Calibri"/>
                <w:lang w:eastAsia="it-IT"/>
              </w:rPr>
              <w:t>PRE2021-8935</w:t>
            </w:r>
            <w:r w:rsidR="00D964C5">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C277D4">
              <w:rPr>
                <w:rFonts w:ascii="Calibri" w:eastAsia="Calibri" w:hAnsi="Calibri" w:cs="Calibri"/>
                <w:lang w:eastAsia="it-IT"/>
              </w:rPr>
              <w:t>1</w:t>
            </w:r>
            <w:r w:rsidR="00D964C5">
              <w:rPr>
                <w:rFonts w:ascii="Calibri" w:eastAsia="Calibri" w:hAnsi="Calibri" w:cs="Calibri"/>
                <w:lang w:eastAsia="it-IT"/>
              </w:rPr>
              <w:t>5</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D964C5">
              <w:rPr>
                <w:rFonts w:ascii="Calibri" w:eastAsia="Calibri" w:hAnsi="Calibri" w:cs="Calibri"/>
                <w:b/>
                <w:bCs/>
                <w:lang w:eastAsia="it-IT"/>
              </w:rPr>
              <w:t>3.000</w:t>
            </w:r>
            <w:r w:rsidR="00C91984">
              <w:rPr>
                <w:rFonts w:ascii="Calibri" w:eastAsia="Calibri" w:hAnsi="Calibri" w:cs="Calibri"/>
                <w:b/>
                <w:bCs/>
                <w:lang w:eastAsia="it-IT"/>
              </w:rPr>
              <w:t>,00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4C935E8"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D964C5" w:rsidRPr="00D964C5">
              <w:rPr>
                <w:rFonts w:ascii="Calibri" w:eastAsia="Calibri" w:hAnsi="Calibri" w:cs="Calibri"/>
                <w:b/>
                <w:bCs/>
                <w:lang w:eastAsia="it-IT"/>
              </w:rPr>
              <w:t>D.B.A. Italia s.r.l.</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D964C5">
              <w:rPr>
                <w:rFonts w:ascii="Calibri" w:eastAsia="Calibri" w:hAnsi="Calibri" w:cs="Calibri"/>
                <w:b/>
                <w:bCs/>
                <w:lang w:eastAsia="it-IT"/>
              </w:rPr>
              <w:t>3.000</w:t>
            </w:r>
            <w:r w:rsidR="00C91984" w:rsidRPr="00C91984">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8A629AC"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D964C5" w:rsidRPr="00D964C5">
        <w:rPr>
          <w:rFonts w:ascii="Calibri" w:eastAsia="Calibri" w:hAnsi="Calibri" w:cs="Calibri"/>
          <w:b/>
          <w:bCs/>
          <w:lang w:eastAsia="it-IT"/>
        </w:rPr>
        <w:t>D.B.A. Italia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D964C5">
        <w:rPr>
          <w:rFonts w:ascii="Calibri" w:eastAsia="Calibri" w:hAnsi="Calibri" w:cstheme="minorHAnsi"/>
          <w:b/>
          <w:sz w:val="22"/>
          <w:szCs w:val="22"/>
        </w:rPr>
        <w:t>3.660</w:t>
      </w:r>
      <w:r w:rsidR="00C277D4">
        <w:rPr>
          <w:rFonts w:ascii="Calibri" w:eastAsia="Calibri" w:hAnsi="Calibri" w:cstheme="minorHAnsi"/>
          <w:b/>
          <w:sz w:val="22"/>
          <w:szCs w:val="22"/>
        </w:rPr>
        <w:t>,00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D964C5">
        <w:rPr>
          <w:rFonts w:ascii="Calibri" w:eastAsia="Calibri" w:hAnsi="Calibri" w:cstheme="minorHAnsi"/>
          <w:b/>
          <w:bCs/>
          <w:sz w:val="22"/>
          <w:szCs w:val="22"/>
        </w:rPr>
        <w:t>3.000</w:t>
      </w:r>
      <w:r w:rsidR="00C91984">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D964C5">
        <w:rPr>
          <w:rFonts w:ascii="Calibri" w:eastAsia="Calibri" w:hAnsi="Calibri" w:cstheme="minorHAnsi"/>
          <w:b/>
          <w:bCs/>
          <w:sz w:val="22"/>
          <w:szCs w:val="22"/>
        </w:rPr>
        <w:t>660</w:t>
      </w:r>
      <w:r w:rsidR="00C277D4">
        <w:rPr>
          <w:rFonts w:ascii="Calibri" w:eastAsia="Calibri" w:hAnsi="Calibri" w:cstheme="minorHAnsi"/>
          <w:b/>
          <w:bCs/>
          <w:sz w:val="22"/>
          <w:szCs w:val="22"/>
        </w:rPr>
        <w:t>,00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1434</Words>
  <Characters>8669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10083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2021-10-07T10:10:00Z</dcterms:created>
  <dcterms:modified xsi:type="dcterms:W3CDTF">2021-10-07T10:13:00Z</dcterms:modified>
</cp:coreProperties>
</file>