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5FE0A" w14:textId="555FC41C" w:rsidR="00486A32" w:rsidRDefault="00486A32"/>
    <w:p w14:paraId="55F35763" w14:textId="623147E1" w:rsidR="00486A32" w:rsidRPr="00486A32" w:rsidRDefault="00486A32">
      <w:pPr>
        <w:rPr>
          <w:b/>
          <w:bCs/>
          <w:u w:val="single"/>
        </w:rPr>
      </w:pPr>
      <w:r w:rsidRPr="00486A32">
        <w:rPr>
          <w:b/>
          <w:bCs/>
          <w:u w:val="single"/>
        </w:rPr>
        <w:t xml:space="preserve">DETERMINA N. </w:t>
      </w:r>
      <w:r w:rsidR="000976FA">
        <w:rPr>
          <w:b/>
          <w:bCs/>
          <w:u w:val="single"/>
        </w:rPr>
        <w:t xml:space="preserve">108 </w:t>
      </w:r>
      <w:r w:rsidRPr="00486A32">
        <w:rPr>
          <w:b/>
          <w:bCs/>
          <w:u w:val="single"/>
        </w:rPr>
        <w:t>DE</w:t>
      </w:r>
      <w:r w:rsidR="000976FA">
        <w:rPr>
          <w:b/>
          <w:bCs/>
          <w:u w:val="single"/>
        </w:rPr>
        <w:t xml:space="preserve">L 19/03/2021  </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486A32">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7CBEB9E4" w:rsidR="00E41749"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E24A53">
              <w:rPr>
                <w:rFonts w:eastAsia="Calibri" w:cstheme="minorHAnsi"/>
                <w:b/>
                <w:bCs/>
              </w:rPr>
              <w:t>STAMPANTE MULTIFUNZIONE</w:t>
            </w:r>
            <w:r>
              <w:rPr>
                <w:rFonts w:eastAsia="Calibri" w:cstheme="minorHAnsi"/>
                <w:b/>
                <w:bCs/>
              </w:rPr>
              <w:t xml:space="preserve">, per un importo a </w:t>
            </w:r>
            <w:r w:rsidR="00E24A53">
              <w:rPr>
                <w:rFonts w:eastAsia="Calibri" w:cstheme="minorHAnsi"/>
                <w:b/>
                <w:bCs/>
              </w:rPr>
              <w:t>presunto</w:t>
            </w:r>
            <w:r>
              <w:rPr>
                <w:rFonts w:eastAsia="Calibri" w:cstheme="minorHAnsi"/>
                <w:b/>
                <w:bCs/>
              </w:rPr>
              <w:t xml:space="preserve"> pari a € </w:t>
            </w:r>
            <w:r w:rsidR="00E24A53">
              <w:rPr>
                <w:rFonts w:eastAsia="Calibri" w:cstheme="minorHAnsi"/>
                <w:b/>
                <w:bCs/>
              </w:rPr>
              <w:t>350,00</w:t>
            </w:r>
            <w:r>
              <w:rPr>
                <w:rFonts w:eastAsia="Calibri" w:cstheme="minorHAnsi"/>
                <w:b/>
                <w:bCs/>
              </w:rPr>
              <w:t xml:space="preserve"> (IVA esclusa), con aggiudicazione mediante </w:t>
            </w:r>
            <w:r w:rsidR="009047F4">
              <w:rPr>
                <w:rFonts w:eastAsia="Calibri" w:cstheme="minorHAnsi"/>
                <w:b/>
                <w:bCs/>
                <w:u w:val="single"/>
              </w:rPr>
              <w:t>OFFERTA PIU’ ECONOMICA</w:t>
            </w:r>
          </w:p>
          <w:p w14:paraId="184BF098" w14:textId="1C7DB038" w:rsidR="00E41749" w:rsidRDefault="00E41749">
            <w:pPr>
              <w:autoSpaceDE w:val="0"/>
              <w:spacing w:line="256" w:lineRule="auto"/>
              <w:jc w:val="both"/>
              <w:rPr>
                <w:rFonts w:eastAsia="Calibri" w:cstheme="minorHAnsi"/>
                <w:b/>
                <w:bCs/>
              </w:rPr>
            </w:pPr>
            <w:r>
              <w:rPr>
                <w:rFonts w:eastAsia="Calibri" w:cstheme="minorHAnsi"/>
                <w:b/>
                <w:bCs/>
              </w:rPr>
              <w:t xml:space="preserve">CIG: </w:t>
            </w:r>
            <w:r w:rsidR="00E24A53" w:rsidRPr="00E24A53">
              <w:rPr>
                <w:rFonts w:eastAsia="Calibri" w:cstheme="minorHAnsi"/>
                <w:b/>
                <w:bCs/>
              </w:rPr>
              <w:t>Z0B30F516A</w:t>
            </w:r>
          </w:p>
          <w:p w14:paraId="73CE75DE" w14:textId="10DCCC96" w:rsidR="00E24A53" w:rsidRDefault="00E41749" w:rsidP="00E24A53">
            <w:pPr>
              <w:spacing w:after="60" w:line="256" w:lineRule="auto"/>
              <w:jc w:val="both"/>
              <w:rPr>
                <w:rFonts w:eastAsia="Calibri" w:cstheme="minorHAnsi"/>
                <w:bCs/>
                <w:sz w:val="22"/>
                <w:szCs w:val="22"/>
                <w:lang w:eastAsia="en-US"/>
              </w:rPr>
            </w:pPr>
            <w:r>
              <w:rPr>
                <w:rFonts w:cstheme="minorHAnsi"/>
                <w:b/>
              </w:rPr>
              <w:t xml:space="preserve">Lotto 1: CIG: </w:t>
            </w:r>
            <w:r w:rsidR="00E24A53" w:rsidRPr="00E24A53">
              <w:rPr>
                <w:rFonts w:cstheme="minorHAnsi"/>
                <w:b/>
              </w:rPr>
              <w:t>Z0B30F516A</w:t>
            </w:r>
            <w:r>
              <w:rPr>
                <w:rFonts w:cstheme="minorHAnsi"/>
                <w:b/>
              </w:rPr>
              <w:t xml:space="preserve"> </w:t>
            </w:r>
          </w:p>
          <w:p w14:paraId="69AA869E" w14:textId="7AD7CCD3"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5AC10188"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E24A53">
              <w:rPr>
                <w:rFonts w:eastAsia="Calibri" w:cstheme="minorHAnsi"/>
              </w:rPr>
              <w:t>108</w:t>
            </w:r>
            <w:r>
              <w:rPr>
                <w:rFonts w:eastAsia="Calibri" w:cstheme="minorHAnsi"/>
              </w:rPr>
              <w:t xml:space="preserve"> del </w:t>
            </w:r>
            <w:r w:rsidR="00E24A53">
              <w:rPr>
                <w:rFonts w:eastAsia="Calibri" w:cstheme="minorHAnsi"/>
              </w:rPr>
              <w:t>19/03/2021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E24A53">
              <w:rPr>
                <w:rFonts w:eastAsia="Calibri" w:cstheme="minorHAnsi"/>
                <w:bCs/>
              </w:rPr>
              <w:t>STAMPANTE MULTIFUNZIONE</w:t>
            </w:r>
            <w:r>
              <w:rPr>
                <w:rFonts w:eastAsia="Calibri" w:cstheme="minorHAnsi"/>
                <w:bCs/>
              </w:rPr>
              <w:t xml:space="preserve">, per un importo </w:t>
            </w:r>
            <w:r w:rsidR="00E24A53">
              <w:rPr>
                <w:rFonts w:eastAsia="Calibri" w:cstheme="minorHAnsi"/>
                <w:bCs/>
              </w:rPr>
              <w:t>presunto</w:t>
            </w:r>
            <w:r>
              <w:rPr>
                <w:rFonts w:eastAsia="Calibri" w:cstheme="minorHAnsi"/>
                <w:bCs/>
              </w:rPr>
              <w:t xml:space="preserve"> pari a € </w:t>
            </w:r>
            <w:r w:rsidR="00E24A53">
              <w:rPr>
                <w:rFonts w:eastAsia="Calibri" w:cstheme="minorHAnsi"/>
                <w:bCs/>
              </w:rPr>
              <w:t>350,00</w:t>
            </w:r>
            <w:r>
              <w:rPr>
                <w:rFonts w:eastAsia="Calibri" w:cstheme="minorHAnsi"/>
                <w:bCs/>
              </w:rPr>
              <w:t xml:space="preserve">, con aggiudicazione mediante </w:t>
            </w:r>
            <w:r w:rsidR="00E24A53">
              <w:rPr>
                <w:rFonts w:eastAsia="Calibri" w:cstheme="minorHAnsi"/>
                <w:bCs/>
              </w:rPr>
              <w:t>il</w:t>
            </w:r>
            <w:r>
              <w:rPr>
                <w:rFonts w:eastAsia="Calibri" w:cstheme="minorHAnsi"/>
                <w:bCs/>
                <w:i/>
              </w:rPr>
              <w:t xml:space="preserve"> 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2EF324B2"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E24A53">
              <w:rPr>
                <w:rFonts w:eastAsia="Calibri" w:cstheme="minorHAnsi"/>
                <w:szCs w:val="24"/>
              </w:rPr>
              <w:t xml:space="preserve">12/03/2021 </w:t>
            </w:r>
            <w:r>
              <w:rPr>
                <w:rFonts w:eastAsia="Calibri" w:cstheme="minorHAnsi"/>
                <w:szCs w:val="24"/>
              </w:rPr>
              <w:t xml:space="preserve">a n. </w:t>
            </w:r>
            <w:r w:rsidR="00E24A53">
              <w:rPr>
                <w:rFonts w:eastAsia="Calibri" w:cstheme="minorHAnsi"/>
                <w:szCs w:val="24"/>
              </w:rPr>
              <w:t>9</w:t>
            </w:r>
            <w:r>
              <w:rPr>
                <w:rFonts w:eastAsia="Calibri" w:cstheme="minorHAnsi"/>
                <w:szCs w:val="24"/>
              </w:rPr>
              <w:t xml:space="preserve"> operatori, </w:t>
            </w:r>
            <w:r>
              <w:rPr>
                <w:szCs w:val="24"/>
              </w:rPr>
              <w:t xml:space="preserve">nella quale il termine ultimo per la presentazione delle offerte è stato fissato per le ore </w:t>
            </w:r>
            <w:r w:rsidR="00E24A53">
              <w:rPr>
                <w:szCs w:val="24"/>
              </w:rPr>
              <w:t xml:space="preserve">12.39 </w:t>
            </w:r>
            <w:r>
              <w:rPr>
                <w:szCs w:val="24"/>
              </w:rPr>
              <w:t xml:space="preserve">del </w:t>
            </w:r>
            <w:r w:rsidR="00E24A53">
              <w:rPr>
                <w:szCs w:val="24"/>
              </w:rPr>
              <w:t>17/03/2021</w:t>
            </w:r>
            <w:r>
              <w:rPr>
                <w:szCs w:val="24"/>
              </w:rPr>
              <w:t xml:space="preserve"> e la prima seduta pubblica, per il giorno </w:t>
            </w:r>
            <w:r w:rsidR="00E24A53">
              <w:rPr>
                <w:szCs w:val="24"/>
              </w:rPr>
              <w:t>19/03/2021</w:t>
            </w:r>
            <w:r>
              <w:rPr>
                <w:szCs w:val="24"/>
              </w:rPr>
              <w:t xml:space="preserve">, alle ore </w:t>
            </w:r>
            <w:r w:rsidR="00E24A53">
              <w:rPr>
                <w:szCs w:val="24"/>
              </w:rPr>
              <w:t>10.00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0E62B4FD"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E24A53">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346AA4" w14:paraId="1711CF60" w14:textId="77777777" w:rsidTr="00486A32">
        <w:tc>
          <w:tcPr>
            <w:tcW w:w="2003" w:type="dxa"/>
            <w:hideMark/>
          </w:tcPr>
          <w:p w14:paraId="1A04CE5E" w14:textId="01C54BD1" w:rsidR="00346AA4" w:rsidRDefault="00346AA4">
            <w:pPr>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1DB07F56" w14:textId="7D0D9D6D" w:rsidR="00346AA4" w:rsidRDefault="00346AA4">
            <w:pPr>
              <w:tabs>
                <w:tab w:val="left" w:pos="9639"/>
              </w:tabs>
              <w:spacing w:before="120" w:after="120" w:line="256" w:lineRule="auto"/>
              <w:jc w:val="both"/>
              <w:rPr>
                <w:szCs w:val="24"/>
                <w:lang w:eastAsia="en-US"/>
              </w:rPr>
            </w:pPr>
            <w:r>
              <w:rPr>
                <w:szCs w:val="24"/>
              </w:rPr>
              <w:t xml:space="preserve">che, all’esito delle attività del RUP di verifica della documentazione amministrativa, sono risultati ammessi al prosieguo n. 1 concorrenti; </w:t>
            </w:r>
          </w:p>
        </w:tc>
      </w:tr>
      <w:tr w:rsidR="00346AA4" w14:paraId="0E6C26CC" w14:textId="77777777" w:rsidTr="00486A32">
        <w:tc>
          <w:tcPr>
            <w:tcW w:w="2003" w:type="dxa"/>
            <w:hideMark/>
          </w:tcPr>
          <w:p w14:paraId="214D5425" w14:textId="32140620" w:rsidR="00346AA4" w:rsidRDefault="00346AA4">
            <w:pPr>
              <w:spacing w:before="120" w:after="120" w:line="256" w:lineRule="auto"/>
              <w:rPr>
                <w:rFonts w:eastAsia="Calibri" w:cstheme="minorHAnsi"/>
                <w:b/>
                <w:sz w:val="22"/>
                <w:szCs w:val="22"/>
                <w:lang w:eastAsia="en-US"/>
              </w:rPr>
            </w:pPr>
            <w:r>
              <w:rPr>
                <w:rFonts w:eastAsia="Calibri" w:cstheme="minorHAnsi"/>
                <w:b/>
              </w:rPr>
              <w:lastRenderedPageBreak/>
              <w:t>CONSTATATA</w:t>
            </w:r>
          </w:p>
        </w:tc>
        <w:tc>
          <w:tcPr>
            <w:tcW w:w="7938" w:type="dxa"/>
            <w:gridSpan w:val="2"/>
            <w:hideMark/>
          </w:tcPr>
          <w:p w14:paraId="2EA1C0BF" w14:textId="227FD5AA" w:rsidR="00346AA4" w:rsidRDefault="00346AA4">
            <w:pPr>
              <w:pStyle w:val="Corpotesto"/>
              <w:tabs>
                <w:tab w:val="left" w:pos="1418"/>
              </w:tabs>
              <w:spacing w:line="256" w:lineRule="auto"/>
              <w:ind w:left="3"/>
              <w:jc w:val="both"/>
              <w:rPr>
                <w:sz w:val="24"/>
                <w:szCs w:val="24"/>
                <w:lang w:eastAsia="en-US"/>
              </w:rPr>
            </w:pPr>
            <w:r w:rsidRPr="00346AA4">
              <w:rPr>
                <w:rFonts w:asciiTheme="minorHAnsi" w:eastAsia="Calibri" w:hAnsiTheme="minorHAnsi" w:cstheme="minorHAnsi"/>
                <w:b w:val="0"/>
                <w:sz w:val="22"/>
                <w:szCs w:val="22"/>
                <w:lang w:eastAsia="en-US"/>
              </w:rPr>
              <w:t>la regolarità della procedura;</w:t>
            </w:r>
          </w:p>
        </w:tc>
      </w:tr>
      <w:tr w:rsidR="00346AA4" w14:paraId="627897DA" w14:textId="77777777" w:rsidTr="00486A32">
        <w:tc>
          <w:tcPr>
            <w:tcW w:w="2003" w:type="dxa"/>
            <w:hideMark/>
          </w:tcPr>
          <w:p w14:paraId="6619178E" w14:textId="1D349EDF" w:rsidR="00346AA4" w:rsidRDefault="00346AA4">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6BA98C4F" w14:textId="06BF88C3" w:rsidR="00346AA4" w:rsidRDefault="00346AA4">
            <w:pPr>
              <w:pStyle w:val="Rientrocorpodeltesto2"/>
              <w:spacing w:line="240" w:lineRule="auto"/>
              <w:ind w:left="34" w:hanging="459"/>
              <w:jc w:val="both"/>
              <w:rPr>
                <w:rFonts w:eastAsia="Calibri" w:cstheme="minorHAnsi"/>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346AA4" w14:paraId="6184BEDB" w14:textId="77777777" w:rsidTr="00486A32">
        <w:trPr>
          <w:trHeight w:val="2356"/>
        </w:trPr>
        <w:tc>
          <w:tcPr>
            <w:tcW w:w="2003" w:type="dxa"/>
            <w:hideMark/>
          </w:tcPr>
          <w:p w14:paraId="4766686D" w14:textId="5EF46FC9" w:rsidR="00346AA4" w:rsidRDefault="00346AA4">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5F8A8E5F" w14:textId="30F37786" w:rsidR="00346AA4" w:rsidRDefault="00346AA4" w:rsidP="00E41749">
            <w:pPr>
              <w:pStyle w:val="Rientrocorpodeltesto2"/>
              <w:numPr>
                <w:ilvl w:val="0"/>
                <w:numId w:val="17"/>
              </w:numPr>
              <w:spacing w:line="240" w:lineRule="auto"/>
              <w:ind w:left="714" w:hanging="357"/>
              <w:jc w:val="both"/>
              <w:rPr>
                <w:sz w:val="24"/>
                <w:szCs w:val="24"/>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346AA4" w14:paraId="593A4B71" w14:textId="77777777" w:rsidTr="00486A32">
        <w:tc>
          <w:tcPr>
            <w:tcW w:w="2003" w:type="dxa"/>
            <w:hideMark/>
          </w:tcPr>
          <w:p w14:paraId="3C9ACA6D" w14:textId="4F54F1A9" w:rsidR="00346AA4" w:rsidRDefault="00346AA4">
            <w:pPr>
              <w:tabs>
                <w:tab w:val="left" w:pos="966"/>
              </w:tabs>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19547C89" w14:textId="74373F53" w:rsidR="00346AA4" w:rsidRDefault="00346AA4">
            <w:pPr>
              <w:spacing w:before="120" w:after="120" w:line="256" w:lineRule="auto"/>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346AA4" w14:paraId="01986331" w14:textId="77777777" w:rsidTr="00486A32">
        <w:tc>
          <w:tcPr>
            <w:tcW w:w="2003" w:type="dxa"/>
            <w:hideMark/>
          </w:tcPr>
          <w:p w14:paraId="2C6D0651" w14:textId="41B97461" w:rsidR="00346AA4" w:rsidRDefault="00346AA4">
            <w:pPr>
              <w:tabs>
                <w:tab w:val="left" w:pos="966"/>
              </w:tabs>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6D982A37" w14:textId="138AD7BF" w:rsidR="00346AA4" w:rsidRDefault="00346AA4">
            <w:pPr>
              <w:spacing w:before="120" w:after="120" w:line="256" w:lineRule="auto"/>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346AA4" w14:paraId="60AC4183" w14:textId="77777777" w:rsidTr="00486A32">
        <w:tc>
          <w:tcPr>
            <w:tcW w:w="2003" w:type="dxa"/>
            <w:hideMark/>
          </w:tcPr>
          <w:p w14:paraId="4E21EECB" w14:textId="50837116" w:rsidR="00346AA4" w:rsidRDefault="00346AA4">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06D2D118" w14:textId="5D963A66" w:rsidR="00346AA4" w:rsidRDefault="00346AA4">
            <w:pPr>
              <w:spacing w:before="120" w:after="120" w:line="256" w:lineRule="auto"/>
              <w:jc w:val="both"/>
              <w:rPr>
                <w:rFonts w:eastAsia="Calibri" w:cstheme="minorHAnsi"/>
                <w:sz w:val="22"/>
                <w:szCs w:val="22"/>
                <w:lang w:eastAsia="en-US"/>
              </w:rPr>
            </w:pPr>
          </w:p>
        </w:tc>
      </w:tr>
      <w:tr w:rsidR="00346AA4" w14:paraId="30863016" w14:textId="77777777" w:rsidTr="00486A32">
        <w:tc>
          <w:tcPr>
            <w:tcW w:w="2003" w:type="dxa"/>
            <w:hideMark/>
          </w:tcPr>
          <w:p w14:paraId="4B5A167B" w14:textId="674B39FD" w:rsidR="00346AA4" w:rsidRDefault="00346AA4">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5A1D48FE" w14:textId="4BFC7E12" w:rsidR="00346AA4" w:rsidRDefault="00346AA4">
            <w:pPr>
              <w:spacing w:before="120" w:after="120" w:line="256" w:lineRule="auto"/>
              <w:ind w:left="-57"/>
              <w:jc w:val="both"/>
              <w:rPr>
                <w:rFonts w:eastAsia="Calibri" w:cstheme="minorHAnsi"/>
                <w:sz w:val="22"/>
                <w:szCs w:val="22"/>
                <w:lang w:eastAsia="en-US"/>
              </w:rPr>
            </w:pPr>
          </w:p>
        </w:tc>
      </w:tr>
      <w:tr w:rsidR="00346AA4" w14:paraId="78168F45" w14:textId="77777777" w:rsidTr="00486A32">
        <w:tc>
          <w:tcPr>
            <w:tcW w:w="2003" w:type="dxa"/>
            <w:hideMark/>
          </w:tcPr>
          <w:p w14:paraId="26EF807A" w14:textId="307D463E" w:rsidR="00346AA4" w:rsidRDefault="00346AA4">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4D20A2E8" w14:textId="50FC79DC" w:rsidR="00346AA4" w:rsidRDefault="00346AA4">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45AF32DB"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BE1515">
        <w:rPr>
          <w:rFonts w:cstheme="minorHAnsi"/>
          <w:bCs/>
        </w:rPr>
        <w:t>STAMPANTE MULTIFUNZIONE</w:t>
      </w:r>
      <w:r>
        <w:rPr>
          <w:rFonts w:cstheme="minorHAnsi"/>
        </w:rPr>
        <w:t xml:space="preserve">, formulata nella seduta pubblica del </w:t>
      </w:r>
      <w:r w:rsidR="00BE1515">
        <w:rPr>
          <w:rFonts w:cstheme="minorHAnsi"/>
        </w:rPr>
        <w:t>19/03/2021</w:t>
      </w:r>
      <w:r>
        <w:rPr>
          <w:rFonts w:cstheme="minorHAnsi"/>
        </w:rPr>
        <w:t>;</w:t>
      </w:r>
    </w:p>
    <w:p w14:paraId="2EEFC42E" w14:textId="5C402414"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conseguentemente di aggiudicare la procedura in discorso </w:t>
      </w:r>
      <w:r>
        <w:rPr>
          <w:rFonts w:cstheme="minorHAnsi"/>
        </w:rPr>
        <w:t xml:space="preserve">all’operatore economico </w:t>
      </w:r>
      <w:r w:rsidR="00BE1515">
        <w:t>DEALEROFFICE SRL</w:t>
      </w:r>
      <w:r>
        <w:rPr>
          <w:rFonts w:cstheme="minorHAnsi"/>
        </w:rPr>
        <w:t xml:space="preserve">, con sede in </w:t>
      </w:r>
      <w:r w:rsidR="00BE1515">
        <w:t>VIA CONSALVO N°55 - NAPOLI (NA)</w:t>
      </w:r>
      <w:r w:rsidR="00BE1515">
        <w:t xml:space="preserve">, </w:t>
      </w:r>
      <w:r>
        <w:rPr>
          <w:rFonts w:cstheme="minorHAnsi"/>
        </w:rPr>
        <w:t>P.IVA</w:t>
      </w:r>
      <w:r w:rsidR="00BE1515">
        <w:rPr>
          <w:rFonts w:cstheme="minorHAnsi"/>
        </w:rPr>
        <w:t xml:space="preserve"> </w:t>
      </w:r>
      <w:r w:rsidR="00BE1515">
        <w:t>07511580636</w:t>
      </w:r>
      <w:r>
        <w:rPr>
          <w:rFonts w:cstheme="minorHAnsi"/>
        </w:rPr>
        <w:t xml:space="preserve">, alle condizioni di cui all’Offerta presentata, recante quest’ultima un prezzo complessivo offerto pari a euro </w:t>
      </w:r>
      <w:r w:rsidR="00BE1515">
        <w:rPr>
          <w:rFonts w:cstheme="minorHAnsi"/>
        </w:rPr>
        <w:t>350,00</w:t>
      </w:r>
      <w:r>
        <w:rPr>
          <w:rFonts w:cstheme="minorHAnsi"/>
        </w:rPr>
        <w:t xml:space="preserve"> ed un ribasso pari a </w:t>
      </w:r>
      <w:r w:rsidR="00BE1515">
        <w:rPr>
          <w:rFonts w:cstheme="minorHAnsi"/>
        </w:rPr>
        <w:t>10,00</w:t>
      </w:r>
      <w:r>
        <w:rPr>
          <w:rFonts w:cstheme="minorHAnsi"/>
        </w:rPr>
        <w:t>, il tutto oltre IVA come per legge;</w:t>
      </w:r>
      <w:r>
        <w:rPr>
          <w:rFonts w:cstheme="minorHAnsi"/>
          <w:bCs/>
        </w:rPr>
        <w:t xml:space="preserve"> </w:t>
      </w:r>
    </w:p>
    <w:p w14:paraId="777733E9" w14:textId="47A13D30"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BE1515">
        <w:t>CA.04.41.02.02.01</w:t>
      </w:r>
      <w:r>
        <w:rPr>
          <w:rFonts w:cstheme="minorHAnsi"/>
          <w:bCs/>
        </w:rPr>
        <w:t xml:space="preserve"> del bilancio unico di Ateneo di previsione annuale autorizzatorio </w:t>
      </w:r>
      <w:r w:rsidR="00653D64">
        <w:rPr>
          <w:rFonts w:cstheme="minorHAnsi"/>
          <w:bCs/>
        </w:rPr>
        <w:t>per l’esercizio finanziario 202</w:t>
      </w:r>
      <w:r w:rsidR="00BE1515">
        <w:rPr>
          <w:rFonts w:cstheme="minorHAnsi"/>
          <w:bCs/>
        </w:rPr>
        <w:t>1</w:t>
      </w:r>
      <w:r>
        <w:rPr>
          <w:rFonts w:cstheme="minorHAnsi"/>
          <w:bCs/>
        </w:rPr>
        <w:t>;</w:t>
      </w:r>
    </w:p>
    <w:p w14:paraId="330F760B" w14:textId="0FB531CF"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5447DBC" w14:textId="77777777" w:rsidR="00BE1515" w:rsidRDefault="00BE1515" w:rsidP="00BE1515">
      <w:pPr>
        <w:suppressAutoHyphens/>
        <w:spacing w:before="120" w:after="120"/>
        <w:ind w:left="720"/>
        <w:jc w:val="both"/>
        <w:rPr>
          <w:rFonts w:cstheme="minorHAnsi"/>
          <w:bCs/>
        </w:rPr>
      </w:pPr>
    </w:p>
    <w:p w14:paraId="73305C55" w14:textId="77777777" w:rsidR="00E41749" w:rsidRDefault="00E41749" w:rsidP="00E41749">
      <w:pPr>
        <w:rPr>
          <w:rFonts w:eastAsia="Calibri" w:cstheme="minorHAnsi"/>
        </w:rPr>
      </w:pPr>
      <w:r>
        <w:rPr>
          <w:rFonts w:eastAsia="Calibri" w:cstheme="minorHAnsi"/>
        </w:rPr>
        <w:lastRenderedPageBreak/>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r>
        <w:rPr>
          <w:rFonts w:eastAsia="Calibri" w:cstheme="minorHAnsi"/>
        </w:rPr>
        <w:t>s.m.i.</w:t>
      </w:r>
      <w:proofErr w:type="spellEnd"/>
      <w:r>
        <w:rPr>
          <w:rFonts w:eastAsia="Calibri" w:cstheme="minorHAnsi"/>
        </w:rPr>
        <w:t>.</w:t>
      </w:r>
    </w:p>
    <w:p w14:paraId="21532F01" w14:textId="77777777" w:rsidR="00615EA2" w:rsidRDefault="00615EA2" w:rsidP="00E41749">
      <w:pPr>
        <w:rPr>
          <w:rFonts w:eastAsia="Calibri" w:cstheme="minorHAnsi"/>
        </w:rPr>
      </w:pPr>
    </w:p>
    <w:p w14:paraId="1E120563" w14:textId="77777777" w:rsidR="00BE1515" w:rsidRDefault="00BE1515" w:rsidP="00E41749">
      <w:pPr>
        <w:rPr>
          <w:rFonts w:eastAsia="Calibri" w:cstheme="minorHAnsi"/>
        </w:rPr>
      </w:pPr>
    </w:p>
    <w:p w14:paraId="3233F13A" w14:textId="77777777" w:rsidR="00BE1515" w:rsidRDefault="00BE1515" w:rsidP="00E41749">
      <w:pPr>
        <w:rPr>
          <w:rFonts w:eastAsia="Calibri" w:cstheme="minorHAnsi"/>
        </w:rPr>
      </w:pPr>
    </w:p>
    <w:p w14:paraId="0C5892A9" w14:textId="03F03052" w:rsidR="00BE1515" w:rsidRDefault="00615EA2" w:rsidP="00E41749">
      <w:pPr>
        <w:rPr>
          <w:rFonts w:eastAsia="Calibri" w:cstheme="minorHAnsi"/>
        </w:rPr>
      </w:pPr>
      <w:r>
        <w:rPr>
          <w:rFonts w:eastAsia="Calibri" w:cstheme="minorHAnsi"/>
        </w:rPr>
        <w:t>Il Responsabile dei Processi Contabili</w:t>
      </w:r>
      <w:r w:rsidR="00BE1515">
        <w:rPr>
          <w:rFonts w:eastAsia="Calibri" w:cstheme="minorHAnsi"/>
        </w:rPr>
        <w:tab/>
      </w:r>
      <w:r w:rsidR="00BE1515">
        <w:rPr>
          <w:rFonts w:eastAsia="Calibri" w:cstheme="minorHAnsi"/>
        </w:rPr>
        <w:tab/>
      </w:r>
      <w:r w:rsidR="00BE1515">
        <w:rPr>
          <w:rFonts w:eastAsia="Calibri" w:cstheme="minorHAnsi"/>
        </w:rPr>
        <w:tab/>
      </w:r>
      <w:r w:rsidR="00BE1515">
        <w:rPr>
          <w:rFonts w:eastAsia="Calibri" w:cstheme="minorHAnsi"/>
        </w:rPr>
        <w:tab/>
        <w:t>Il Direttore del Dipartimento</w:t>
      </w:r>
    </w:p>
    <w:p w14:paraId="2E4E04D0" w14:textId="48E7FC95" w:rsidR="0029145F" w:rsidRPr="00BE1515" w:rsidRDefault="00615EA2" w:rsidP="00E41749">
      <w:pPr>
        <w:rPr>
          <w:rFonts w:eastAsia="Calibri" w:cstheme="minorHAnsi"/>
        </w:rPr>
      </w:pPr>
      <w:r>
        <w:rPr>
          <w:rFonts w:eastAsia="Calibri" w:cstheme="minorHAnsi"/>
        </w:rPr>
        <w:t xml:space="preserve"> </w:t>
      </w:r>
      <w:r w:rsidR="00BE1515">
        <w:rPr>
          <w:rFonts w:eastAsia="Calibri" w:cstheme="minorHAnsi"/>
        </w:rPr>
        <w:t>Dott.ssa Annunziata Albanese</w:t>
      </w:r>
      <w:r w:rsidR="00BE1515">
        <w:rPr>
          <w:rFonts w:eastAsia="Calibri" w:cstheme="minorHAnsi"/>
        </w:rPr>
        <w:tab/>
      </w:r>
      <w:r w:rsidR="00BE1515">
        <w:rPr>
          <w:rFonts w:eastAsia="Calibri" w:cstheme="minorHAnsi"/>
        </w:rPr>
        <w:tab/>
      </w:r>
      <w:r w:rsidR="00BE1515">
        <w:rPr>
          <w:rFonts w:eastAsia="Calibri" w:cstheme="minorHAnsi"/>
        </w:rPr>
        <w:tab/>
      </w:r>
      <w:r w:rsidR="00BE1515">
        <w:rPr>
          <w:rFonts w:eastAsia="Calibri" w:cstheme="minorHAnsi"/>
        </w:rPr>
        <w:tab/>
      </w:r>
      <w:r w:rsidR="00BE1515">
        <w:rPr>
          <w:rFonts w:eastAsia="Calibri" w:cstheme="minorHAnsi"/>
        </w:rPr>
        <w:tab/>
        <w:t xml:space="preserve"> Prof.ssa Franca Esposito</w:t>
      </w:r>
    </w:p>
    <w:sectPr w:rsidR="0029145F" w:rsidRPr="00BE1515"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976FA"/>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46AA4"/>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1515"/>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24A53"/>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572497387">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816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756</Words>
  <Characters>4511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2021-03-19T10:25:00Z</dcterms:created>
  <dcterms:modified xsi:type="dcterms:W3CDTF">2021-03-19T10:55:00Z</dcterms:modified>
</cp:coreProperties>
</file>