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540FA00E"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654078">
        <w:rPr>
          <w:rFonts w:ascii="Times" w:eastAsia="Calibri" w:hAnsi="Times" w:cstheme="minorHAnsi"/>
          <w:b/>
          <w:bCs/>
          <w:sz w:val="24"/>
          <w:u w:val="single"/>
        </w:rPr>
        <w:t>130</w:t>
      </w:r>
      <w:r w:rsidRPr="00C868E9">
        <w:rPr>
          <w:rFonts w:ascii="Times" w:eastAsia="Calibri" w:hAnsi="Times" w:cstheme="minorHAnsi"/>
          <w:b/>
          <w:bCs/>
          <w:sz w:val="24"/>
          <w:u w:val="single"/>
        </w:rPr>
        <w:t xml:space="preserve"> DEL </w:t>
      </w:r>
      <w:r w:rsidR="00654078">
        <w:rPr>
          <w:rFonts w:ascii="Times" w:eastAsia="Calibri" w:hAnsi="Times" w:cstheme="minorHAnsi"/>
          <w:b/>
          <w:bCs/>
          <w:sz w:val="24"/>
          <w:u w:val="single"/>
        </w:rPr>
        <w:t>24</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68B26438"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654078">
              <w:rPr>
                <w:rFonts w:ascii="Times" w:eastAsia="Calibri" w:hAnsi="Times" w:cstheme="minorHAnsi"/>
                <w:b/>
                <w:bCs/>
                <w:sz w:val="24"/>
              </w:rPr>
              <w:t>2.523,06</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654078">
              <w:rPr>
                <w:rFonts w:ascii="Times" w:eastAsia="Calibri" w:hAnsi="Times" w:cstheme="minorHAnsi"/>
                <w:b/>
                <w:bCs/>
                <w:sz w:val="24"/>
              </w:rPr>
              <w:t>ZA1312129A</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52CC2BD0"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654078">
              <w:rPr>
                <w:rFonts w:ascii="Calibri" w:eastAsia="Calibri" w:hAnsi="Calibri" w:cs="Calibri"/>
                <w:sz w:val="24"/>
              </w:rPr>
              <w:t>SIAL SRL</w:t>
            </w:r>
          </w:p>
          <w:p w14:paraId="6900DF08" w14:textId="4C505583"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654078">
              <w:rPr>
                <w:rFonts w:ascii="Calibri" w:eastAsia="Calibri" w:hAnsi="Calibri" w:cs="Calibri"/>
                <w:sz w:val="24"/>
              </w:rPr>
              <w:t>MERCK</w:t>
            </w:r>
          </w:p>
          <w:p w14:paraId="32519D6E" w14:textId="1248BD67"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654078">
              <w:rPr>
                <w:rFonts w:ascii="Calibri" w:eastAsia="Calibri" w:hAnsi="Calibri" w:cs="Calibri"/>
                <w:sz w:val="24"/>
              </w:rPr>
              <w:t>LEVANCHIMICA</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04209DAD"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654078" w:rsidRPr="008051C3">
              <w:rPr>
                <w:rFonts w:ascii="Calibri" w:eastAsia="Calibri" w:hAnsi="Calibri" w:cs="Calibri"/>
                <w:b/>
                <w:bCs/>
                <w:sz w:val="24"/>
              </w:rPr>
              <w:t>MERCK</w:t>
            </w:r>
            <w:r w:rsidR="008051C3">
              <w:rPr>
                <w:rFonts w:ascii="Calibri" w:eastAsia="Calibri" w:hAnsi="Calibri" w:cs="Calibri"/>
                <w:b/>
                <w:bCs/>
                <w:sz w:val="24"/>
              </w:rPr>
              <w:t xml:space="preserve"> LIFE SCIENCE</w:t>
            </w:r>
            <w:r w:rsidR="00943E14" w:rsidRPr="00943E14">
              <w:rPr>
                <w:rFonts w:ascii="Calibri" w:eastAsia="Calibri" w:hAnsi="Calibri" w:cs="Calibri"/>
                <w:b/>
                <w:bCs/>
                <w:sz w:val="24"/>
              </w:rPr>
              <w:t xml:space="preserve"> SRL</w:t>
            </w:r>
            <w:r w:rsidR="009B32AB">
              <w:rPr>
                <w:rFonts w:ascii="Calibri" w:eastAsia="Calibri" w:hAnsi="Calibri" w:cs="Calibri"/>
                <w:sz w:val="24"/>
              </w:rPr>
              <w:t xml:space="preserve"> </w:t>
            </w:r>
            <w:bookmarkEnd w:id="0"/>
            <w:proofErr w:type="spellStart"/>
            <w:r w:rsidR="00A6671A">
              <w:rPr>
                <w:rFonts w:ascii="Calibri" w:eastAsia="Calibri" w:hAnsi="Calibri" w:cs="Calibri"/>
                <w:sz w:val="24"/>
              </w:rPr>
              <w:t>prev</w:t>
            </w:r>
            <w:proofErr w:type="spellEnd"/>
            <w:r w:rsidRPr="00C868E9">
              <w:rPr>
                <w:rFonts w:ascii="Calibri" w:eastAsia="Calibri" w:hAnsi="Calibri" w:cs="Calibri"/>
                <w:sz w:val="24"/>
              </w:rPr>
              <w:t>.</w:t>
            </w:r>
            <w:r w:rsidR="008051C3">
              <w:rPr>
                <w:rFonts w:ascii="Calibri" w:eastAsia="Calibri" w:hAnsi="Calibri" w:cs="Calibri"/>
                <w:sz w:val="24"/>
              </w:rPr>
              <w:t xml:space="preserve"> n. R-4308082.1</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8051C3">
              <w:rPr>
                <w:rFonts w:ascii="Calibri" w:eastAsia="Calibri" w:hAnsi="Calibri" w:cs="Calibri"/>
                <w:sz w:val="24"/>
              </w:rPr>
              <w:t>2</w:t>
            </w:r>
            <w:r w:rsidRPr="00C868E9">
              <w:rPr>
                <w:rFonts w:ascii="Calibri" w:eastAsia="Calibri" w:hAnsi="Calibri" w:cs="Calibri"/>
                <w:sz w:val="24"/>
              </w:rPr>
              <w:t>/</w:t>
            </w:r>
            <w:r w:rsidR="00102B90">
              <w:rPr>
                <w:rFonts w:ascii="Calibri" w:eastAsia="Calibri" w:hAnsi="Calibri" w:cs="Calibri"/>
                <w:sz w:val="24"/>
              </w:rPr>
              <w:t>0</w:t>
            </w:r>
            <w:r w:rsidR="008051C3">
              <w:rPr>
                <w:rFonts w:ascii="Calibri" w:eastAsia="Calibri" w:hAnsi="Calibri" w:cs="Calibri"/>
                <w:sz w:val="24"/>
              </w:rPr>
              <w:t>3</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8051C3">
              <w:rPr>
                <w:rFonts w:ascii="Calibri" w:eastAsia="Calibri" w:hAnsi="Calibri" w:cs="Calibri"/>
                <w:sz w:val="24"/>
              </w:rPr>
              <w:t xml:space="preserve"> e </w:t>
            </w:r>
            <w:proofErr w:type="spellStart"/>
            <w:r w:rsidR="008051C3">
              <w:rPr>
                <w:rFonts w:ascii="Calibri" w:eastAsia="Calibri" w:hAnsi="Calibri" w:cs="Calibri"/>
                <w:sz w:val="24"/>
              </w:rPr>
              <w:t>prev</w:t>
            </w:r>
            <w:proofErr w:type="spellEnd"/>
            <w:r w:rsidR="008051C3">
              <w:rPr>
                <w:rFonts w:ascii="Calibri" w:eastAsia="Calibri" w:hAnsi="Calibri" w:cs="Calibri"/>
                <w:sz w:val="24"/>
              </w:rPr>
              <w:t>. n.</w:t>
            </w:r>
            <w:r w:rsidR="00C07831">
              <w:rPr>
                <w:rFonts w:ascii="Calibri" w:eastAsia="Calibri" w:hAnsi="Calibri" w:cs="Calibri"/>
                <w:sz w:val="24"/>
              </w:rPr>
              <w:t xml:space="preserve"> </w:t>
            </w:r>
            <w:r w:rsidR="008051C3">
              <w:rPr>
                <w:rFonts w:ascii="Calibri" w:eastAsia="Calibri" w:hAnsi="Calibri" w:cs="Calibri"/>
                <w:sz w:val="24"/>
              </w:rPr>
              <w:t xml:space="preserve">200738988 del 16/02/2021 </w:t>
            </w:r>
            <w:r w:rsidR="00C07831">
              <w:rPr>
                <w:rFonts w:ascii="Calibri" w:eastAsia="Calibri" w:hAnsi="Calibri" w:cs="Calibri"/>
                <w:sz w:val="24"/>
              </w:rPr>
              <w:t xml:space="preserve">con importo </w:t>
            </w:r>
            <w:r w:rsidR="008051C3">
              <w:rPr>
                <w:rFonts w:ascii="Calibri" w:eastAsia="Calibri" w:hAnsi="Calibri" w:cs="Calibri"/>
                <w:sz w:val="24"/>
              </w:rPr>
              <w:t xml:space="preserve">totale </w:t>
            </w:r>
            <w:r w:rsidR="00C07831">
              <w:rPr>
                <w:rFonts w:ascii="Calibri" w:eastAsia="Calibri" w:hAnsi="Calibri" w:cs="Calibri"/>
                <w:sz w:val="24"/>
              </w:rPr>
              <w:t>di euro</w:t>
            </w:r>
            <w:r w:rsidR="00943E14">
              <w:rPr>
                <w:rFonts w:ascii="Calibri" w:eastAsia="Calibri" w:hAnsi="Calibri" w:cs="Calibri"/>
                <w:sz w:val="24"/>
              </w:rPr>
              <w:t xml:space="preserve"> </w:t>
            </w:r>
            <w:r w:rsidR="008051C3" w:rsidRPr="008051C3">
              <w:rPr>
                <w:rFonts w:ascii="Calibri" w:eastAsia="Calibri" w:hAnsi="Calibri" w:cs="Calibri"/>
                <w:b/>
                <w:bCs/>
                <w:sz w:val="24"/>
              </w:rPr>
              <w:t>1.562,82</w:t>
            </w:r>
            <w:r w:rsidR="008051C3">
              <w:rPr>
                <w:rFonts w:ascii="Calibri" w:eastAsia="Calibri" w:hAnsi="Calibri" w:cs="Calibri"/>
                <w:sz w:val="24"/>
              </w:rPr>
              <w:t xml:space="preserve"> (prezzo unitario)</w:t>
            </w:r>
            <w:r w:rsidRPr="00C868E9">
              <w:rPr>
                <w:rFonts w:ascii="Calibri" w:eastAsia="Calibri" w:hAnsi="Calibri" w:cs="Calibri"/>
                <w:sz w:val="24"/>
              </w:rPr>
              <w:t>;</w:t>
            </w:r>
          </w:p>
          <w:p w14:paraId="75FACD63" w14:textId="135B4DB7"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00943E14">
              <w:rPr>
                <w:rFonts w:ascii="Calibri" w:eastAsia="Calibri" w:hAnsi="Calibri" w:cs="Calibri"/>
                <w:b/>
                <w:bCs/>
                <w:sz w:val="24"/>
              </w:rPr>
              <w:t xml:space="preserve"> </w:t>
            </w:r>
            <w:proofErr w:type="gramStart"/>
            <w:r w:rsidR="00943E14">
              <w:rPr>
                <w:rFonts w:ascii="Calibri" w:eastAsia="Calibri" w:hAnsi="Calibri" w:cs="Calibri"/>
                <w:b/>
                <w:bCs/>
                <w:sz w:val="24"/>
              </w:rPr>
              <w:t>SRL</w:t>
            </w:r>
            <w:r w:rsidRPr="00C868E9">
              <w:rPr>
                <w:rFonts w:ascii="Calibri" w:eastAsia="Calibri" w:hAnsi="Calibri" w:cs="Calibri"/>
                <w:b/>
                <w:bCs/>
                <w:sz w:val="24"/>
              </w:rPr>
              <w:t xml:space="preserve"> </w:t>
            </w:r>
            <w:r w:rsidRPr="00C868E9">
              <w:rPr>
                <w:rFonts w:ascii="Calibri" w:eastAsia="Calibri" w:hAnsi="Calibri" w:cs="Calibri"/>
                <w:sz w:val="24"/>
              </w:rPr>
              <w:t xml:space="preserve">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proofErr w:type="gramEnd"/>
            <w:r w:rsidRPr="00C868E9">
              <w:rPr>
                <w:rFonts w:ascii="Calibri" w:eastAsia="Calibri" w:hAnsi="Calibri" w:cs="Calibri"/>
                <w:sz w:val="24"/>
              </w:rPr>
              <w:t xml:space="preserve">. </w:t>
            </w:r>
            <w:r w:rsidR="008051C3">
              <w:rPr>
                <w:rFonts w:ascii="Calibri" w:eastAsia="Calibri" w:hAnsi="Calibri" w:cs="Calibri"/>
                <w:sz w:val="24"/>
              </w:rPr>
              <w:t>n. 2609</w:t>
            </w:r>
            <w:r w:rsidRPr="00C868E9">
              <w:rPr>
                <w:rFonts w:ascii="Calibri" w:eastAsia="Calibri" w:hAnsi="Calibri" w:cs="Calibri"/>
                <w:bCs/>
                <w:sz w:val="24"/>
              </w:rPr>
              <w:t xml:space="preserve"> DEL </w:t>
            </w:r>
            <w:r w:rsidR="008051C3">
              <w:rPr>
                <w:rFonts w:ascii="Calibri" w:eastAsia="Calibri" w:hAnsi="Calibri" w:cs="Calibri"/>
                <w:bCs/>
                <w:sz w:val="24"/>
              </w:rPr>
              <w:t>2</w:t>
            </w:r>
            <w:r w:rsidRPr="00C868E9">
              <w:rPr>
                <w:rFonts w:ascii="Calibri" w:eastAsia="Calibri" w:hAnsi="Calibri" w:cs="Calibri"/>
                <w:bCs/>
                <w:sz w:val="24"/>
              </w:rPr>
              <w:t>/</w:t>
            </w:r>
            <w:r w:rsidR="004A1E8B">
              <w:rPr>
                <w:rFonts w:ascii="Calibri" w:eastAsia="Calibri" w:hAnsi="Calibri" w:cs="Calibri"/>
                <w:bCs/>
                <w:sz w:val="24"/>
              </w:rPr>
              <w:t>0</w:t>
            </w:r>
            <w:r w:rsidR="008051C3">
              <w:rPr>
                <w:rFonts w:ascii="Calibri" w:eastAsia="Calibri" w:hAnsi="Calibri" w:cs="Calibri"/>
                <w:bCs/>
                <w:sz w:val="24"/>
              </w:rPr>
              <w:t>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8051C3">
              <w:rPr>
                <w:rFonts w:ascii="Calibri" w:eastAsia="Calibri" w:hAnsi="Calibri" w:cs="Calibri"/>
                <w:bCs/>
                <w:sz w:val="24"/>
              </w:rPr>
              <w:t xml:space="preserve"> e</w:t>
            </w:r>
            <w:r w:rsidR="00C07831">
              <w:rPr>
                <w:rFonts w:ascii="Calibri" w:eastAsia="Calibri" w:hAnsi="Calibri" w:cs="Calibri"/>
                <w:bCs/>
                <w:sz w:val="24"/>
              </w:rPr>
              <w:t xml:space="preserve"> </w:t>
            </w:r>
            <w:proofErr w:type="spellStart"/>
            <w:r w:rsidR="008051C3">
              <w:rPr>
                <w:rFonts w:ascii="Calibri" w:eastAsia="Calibri" w:hAnsi="Calibri" w:cs="Calibri"/>
                <w:bCs/>
                <w:sz w:val="24"/>
              </w:rPr>
              <w:t>prev</w:t>
            </w:r>
            <w:proofErr w:type="spellEnd"/>
            <w:r w:rsidR="008051C3">
              <w:rPr>
                <w:rFonts w:ascii="Calibri" w:eastAsia="Calibri" w:hAnsi="Calibri" w:cs="Calibri"/>
                <w:bCs/>
                <w:sz w:val="24"/>
              </w:rPr>
              <w:t xml:space="preserve">. n. </w:t>
            </w:r>
            <w:r w:rsidR="00307388">
              <w:rPr>
                <w:rFonts w:ascii="Calibri" w:eastAsia="Calibri" w:hAnsi="Calibri" w:cs="Calibri"/>
                <w:bCs/>
                <w:sz w:val="24"/>
              </w:rPr>
              <w:t xml:space="preserve">1782 DEL 15/02/2021 </w:t>
            </w:r>
            <w:r w:rsidR="00C07831">
              <w:rPr>
                <w:rFonts w:ascii="Calibri" w:eastAsia="Calibri" w:hAnsi="Calibri" w:cs="Calibri"/>
                <w:bCs/>
                <w:sz w:val="24"/>
              </w:rPr>
              <w:t xml:space="preserve">con importo </w:t>
            </w:r>
            <w:r w:rsidR="00307388">
              <w:rPr>
                <w:rFonts w:ascii="Calibri" w:eastAsia="Calibri" w:hAnsi="Calibri" w:cs="Calibri"/>
                <w:bCs/>
                <w:sz w:val="24"/>
              </w:rPr>
              <w:t xml:space="preserve">totale </w:t>
            </w:r>
            <w:r w:rsidR="00C07831">
              <w:rPr>
                <w:rFonts w:ascii="Calibri" w:eastAsia="Calibri" w:hAnsi="Calibri" w:cs="Calibri"/>
                <w:bCs/>
                <w:sz w:val="24"/>
              </w:rPr>
              <w:t xml:space="preserve">di euro </w:t>
            </w:r>
            <w:r w:rsidR="00307388" w:rsidRPr="00DF61FB">
              <w:rPr>
                <w:rFonts w:ascii="Calibri" w:eastAsia="Calibri" w:hAnsi="Calibri" w:cs="Calibri"/>
                <w:b/>
                <w:sz w:val="24"/>
              </w:rPr>
              <w:t>1.785,00</w:t>
            </w:r>
            <w:r w:rsidR="00307388">
              <w:rPr>
                <w:rFonts w:ascii="Calibri" w:eastAsia="Calibri" w:hAnsi="Calibri" w:cs="Calibri"/>
                <w:bCs/>
                <w:sz w:val="24"/>
              </w:rPr>
              <w:t xml:space="preserve"> (prezzo unitario)</w:t>
            </w:r>
            <w:r w:rsidRPr="00C868E9">
              <w:rPr>
                <w:rFonts w:ascii="Calibri" w:eastAsia="Calibri" w:hAnsi="Calibri" w:cs="Calibri"/>
                <w:sz w:val="24"/>
              </w:rPr>
              <w:t>;</w:t>
            </w:r>
          </w:p>
          <w:p w14:paraId="31A648A6" w14:textId="315DE074"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8051C3" w:rsidRPr="008051C3">
              <w:rPr>
                <w:rFonts w:ascii="Calibri" w:eastAsia="Calibri" w:hAnsi="Calibri" w:cs="Calibri"/>
                <w:b/>
                <w:bCs/>
                <w:sz w:val="24"/>
              </w:rPr>
              <w:t>LEVANCHIMICA</w:t>
            </w:r>
            <w:r w:rsidRPr="00C868E9">
              <w:rPr>
                <w:rFonts w:ascii="Calibri" w:eastAsia="Calibri" w:hAnsi="Calibri" w:cs="Calibri"/>
                <w:sz w:val="24"/>
              </w:rPr>
              <w:t xml:space="preserve"> </w:t>
            </w:r>
            <w:proofErr w:type="spellStart"/>
            <w:r w:rsidRPr="00C868E9">
              <w:rPr>
                <w:rFonts w:ascii="Calibri" w:eastAsia="Calibri" w:hAnsi="Calibri" w:cs="Calibri"/>
                <w:sz w:val="24"/>
              </w:rPr>
              <w:t>pr</w:t>
            </w:r>
            <w:r w:rsidR="005960BF">
              <w:rPr>
                <w:rFonts w:ascii="Calibri" w:eastAsia="Calibri" w:hAnsi="Calibri" w:cs="Calibri"/>
                <w:sz w:val="24"/>
              </w:rPr>
              <w:t>ev</w:t>
            </w:r>
            <w:proofErr w:type="spellEnd"/>
            <w:r w:rsidR="005960BF">
              <w:rPr>
                <w:rFonts w:ascii="Calibri" w:eastAsia="Calibri" w:hAnsi="Calibri" w:cs="Calibri"/>
                <w:sz w:val="24"/>
              </w:rPr>
              <w:t>.</w:t>
            </w:r>
            <w:r w:rsidR="00307388">
              <w:rPr>
                <w:rFonts w:ascii="Calibri" w:eastAsia="Calibri" w:hAnsi="Calibri" w:cs="Calibri"/>
                <w:sz w:val="24"/>
              </w:rPr>
              <w:t xml:space="preserve"> n. 1074</w:t>
            </w:r>
            <w:r w:rsidRPr="00C868E9">
              <w:rPr>
                <w:rFonts w:ascii="Calibri" w:eastAsia="Calibri" w:hAnsi="Calibri" w:cs="Calibri"/>
                <w:bCs/>
                <w:sz w:val="24"/>
              </w:rPr>
              <w:t xml:space="preserve"> DEL </w:t>
            </w:r>
            <w:r w:rsidR="00307388">
              <w:rPr>
                <w:rFonts w:ascii="Calibri" w:eastAsia="Calibri" w:hAnsi="Calibri" w:cs="Calibri"/>
                <w:bCs/>
                <w:sz w:val="24"/>
              </w:rPr>
              <w:t>3</w:t>
            </w:r>
            <w:r w:rsidRPr="00C868E9">
              <w:rPr>
                <w:rFonts w:ascii="Calibri" w:eastAsia="Calibri" w:hAnsi="Calibri" w:cs="Calibri"/>
                <w:bCs/>
                <w:sz w:val="24"/>
              </w:rPr>
              <w:t>/0</w:t>
            </w:r>
            <w:r w:rsidR="00307388">
              <w:rPr>
                <w:rFonts w:ascii="Calibri" w:eastAsia="Calibri" w:hAnsi="Calibri" w:cs="Calibri"/>
                <w:bCs/>
                <w:sz w:val="24"/>
              </w:rPr>
              <w:t>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w:t>
            </w:r>
            <w:r w:rsidR="00307388">
              <w:rPr>
                <w:rFonts w:ascii="Calibri" w:eastAsia="Calibri" w:hAnsi="Calibri" w:cs="Calibri"/>
                <w:bCs/>
                <w:sz w:val="24"/>
              </w:rPr>
              <w:t xml:space="preserve">e </w:t>
            </w:r>
            <w:proofErr w:type="spellStart"/>
            <w:r w:rsidR="00307388">
              <w:rPr>
                <w:rFonts w:ascii="Calibri" w:eastAsia="Calibri" w:hAnsi="Calibri" w:cs="Calibri"/>
                <w:bCs/>
                <w:sz w:val="24"/>
              </w:rPr>
              <w:t>prev</w:t>
            </w:r>
            <w:proofErr w:type="spellEnd"/>
            <w:r w:rsidR="00307388">
              <w:rPr>
                <w:rFonts w:ascii="Calibri" w:eastAsia="Calibri" w:hAnsi="Calibri" w:cs="Calibri"/>
                <w:bCs/>
                <w:sz w:val="24"/>
              </w:rPr>
              <w:t xml:space="preserve">. n. 749 DEL 15/02/2021 </w:t>
            </w:r>
            <w:r w:rsidR="00C07831">
              <w:rPr>
                <w:rFonts w:ascii="Calibri" w:eastAsia="Calibri" w:hAnsi="Calibri" w:cs="Calibri"/>
                <w:bCs/>
                <w:sz w:val="24"/>
              </w:rPr>
              <w:t xml:space="preserve">con importo </w:t>
            </w:r>
            <w:r w:rsidR="00307388">
              <w:rPr>
                <w:rFonts w:ascii="Calibri" w:eastAsia="Calibri" w:hAnsi="Calibri" w:cs="Calibri"/>
                <w:bCs/>
                <w:sz w:val="24"/>
              </w:rPr>
              <w:t xml:space="preserve">totale </w:t>
            </w:r>
            <w:r w:rsidR="00C07831">
              <w:rPr>
                <w:rFonts w:ascii="Calibri" w:eastAsia="Calibri" w:hAnsi="Calibri" w:cs="Calibri"/>
                <w:bCs/>
                <w:sz w:val="24"/>
              </w:rPr>
              <w:t>di euro</w:t>
            </w:r>
            <w:r w:rsidR="00307388">
              <w:rPr>
                <w:rFonts w:ascii="Calibri" w:eastAsia="Calibri" w:hAnsi="Calibri" w:cs="Calibri"/>
                <w:bCs/>
                <w:sz w:val="24"/>
              </w:rPr>
              <w:t xml:space="preserve"> </w:t>
            </w:r>
            <w:r w:rsidR="00307388" w:rsidRPr="00DF61FB">
              <w:rPr>
                <w:rFonts w:ascii="Calibri" w:eastAsia="Calibri" w:hAnsi="Calibri" w:cs="Calibri"/>
                <w:b/>
                <w:sz w:val="24"/>
              </w:rPr>
              <w:t>2.063,19</w:t>
            </w:r>
            <w:r w:rsidR="00307388">
              <w:rPr>
                <w:rFonts w:ascii="Calibri" w:eastAsia="Calibri" w:hAnsi="Calibri" w:cs="Calibri"/>
                <w:bCs/>
                <w:sz w:val="24"/>
              </w:rPr>
              <w:t xml:space="preserve"> (prezzo unitario</w:t>
            </w:r>
            <w:proofErr w:type="gramStart"/>
            <w:r w:rsidR="00307388">
              <w:rPr>
                <w:rFonts w:ascii="Calibri" w:eastAsia="Calibri" w:hAnsi="Calibri" w:cs="Calibri"/>
                <w:bCs/>
                <w:sz w:val="24"/>
              </w:rPr>
              <w:t xml:space="preserve">) </w:t>
            </w:r>
            <w:r w:rsidR="009B32AB">
              <w:rPr>
                <w:rFonts w:ascii="Calibri" w:eastAsia="Calibri" w:hAnsi="Calibri" w:cs="Calibri"/>
                <w:bCs/>
                <w:sz w:val="24"/>
              </w:rPr>
              <w:t>;</w:t>
            </w:r>
            <w:proofErr w:type="gramEnd"/>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315F0438"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DF61FB" w:rsidRPr="008051C3">
              <w:rPr>
                <w:rFonts w:ascii="Calibri" w:eastAsia="Calibri" w:hAnsi="Calibri" w:cs="Calibri"/>
                <w:b/>
                <w:bCs/>
                <w:sz w:val="24"/>
              </w:rPr>
              <w:t xml:space="preserve"> </w:t>
            </w:r>
            <w:r w:rsidR="00DF61FB" w:rsidRPr="008051C3">
              <w:rPr>
                <w:rFonts w:ascii="Calibri" w:eastAsia="Calibri" w:hAnsi="Calibri" w:cs="Calibri"/>
                <w:b/>
                <w:bCs/>
                <w:sz w:val="24"/>
              </w:rPr>
              <w:t>MERCK</w:t>
            </w:r>
            <w:r w:rsidR="00DF61FB">
              <w:rPr>
                <w:rFonts w:ascii="Calibri" w:eastAsia="Calibri" w:hAnsi="Calibri" w:cs="Calibri"/>
                <w:b/>
                <w:bCs/>
                <w:sz w:val="24"/>
              </w:rPr>
              <w:t xml:space="preserve"> LIFE SCIENCE</w:t>
            </w:r>
            <w:r w:rsidR="00DF61FB" w:rsidRPr="00943E14">
              <w:rPr>
                <w:rFonts w:ascii="Calibri" w:eastAsia="Calibri" w:hAnsi="Calibri" w:cs="Calibri"/>
                <w:b/>
                <w:bCs/>
                <w:sz w:val="24"/>
              </w:rPr>
              <w:t xml:space="preserve"> </w:t>
            </w:r>
            <w:proofErr w:type="gramStart"/>
            <w:r w:rsidR="00DF61FB" w:rsidRPr="00943E14">
              <w:rPr>
                <w:rFonts w:ascii="Calibri" w:eastAsia="Calibri" w:hAnsi="Calibri" w:cs="Calibri"/>
                <w:b/>
                <w:bCs/>
                <w:sz w:val="24"/>
              </w:rPr>
              <w:t>SRL</w:t>
            </w:r>
            <w:r w:rsidR="009814F1" w:rsidRPr="00943E14">
              <w:rPr>
                <w:rFonts w:ascii="Calibri" w:eastAsia="Calibri" w:hAnsi="Calibri" w:cs="Calibri"/>
                <w:b/>
                <w:bCs/>
                <w:sz w:val="24"/>
              </w:rPr>
              <w:t xml:space="preserve"> </w:t>
            </w:r>
            <w:r w:rsidRPr="00C868E9">
              <w:rPr>
                <w:rFonts w:ascii="Calibri" w:eastAsia="Calibri" w:hAnsi="Calibri" w:cs="Calibri"/>
                <w:sz w:val="24"/>
              </w:rPr>
              <w:t>;</w:t>
            </w:r>
            <w:proofErr w:type="gramEnd"/>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32AFE4BE"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DF61FB" w:rsidRPr="008051C3">
              <w:rPr>
                <w:rFonts w:ascii="Calibri" w:eastAsia="Calibri" w:hAnsi="Calibri" w:cs="Calibri"/>
                <w:b/>
                <w:bCs/>
                <w:sz w:val="24"/>
              </w:rPr>
              <w:t>MERCK</w:t>
            </w:r>
            <w:r w:rsidR="00DF61FB">
              <w:rPr>
                <w:rFonts w:ascii="Calibri" w:eastAsia="Calibri" w:hAnsi="Calibri" w:cs="Calibri"/>
                <w:b/>
                <w:bCs/>
                <w:sz w:val="24"/>
              </w:rPr>
              <w:t xml:space="preserve"> LIFE SCIENCE</w:t>
            </w:r>
            <w:r w:rsidR="00DF61FB" w:rsidRPr="00943E14">
              <w:rPr>
                <w:rFonts w:ascii="Calibri" w:eastAsia="Calibri" w:hAnsi="Calibri" w:cs="Calibri"/>
                <w:b/>
                <w:bCs/>
                <w:sz w:val="24"/>
              </w:rPr>
              <w:t xml:space="preserve"> SRL</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DF61FB" w:rsidRPr="00DF61FB">
              <w:rPr>
                <w:rFonts w:ascii="Calibri" w:eastAsia="Calibri" w:hAnsi="Calibri" w:cs="Calibri"/>
                <w:b/>
                <w:bCs/>
                <w:sz w:val="24"/>
              </w:rPr>
              <w:t>1.562,82</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6B342696"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DF61FB" w:rsidRPr="008051C3">
        <w:rPr>
          <w:rFonts w:ascii="Calibri" w:eastAsia="Calibri" w:hAnsi="Calibri" w:cs="Calibri"/>
          <w:b/>
          <w:bCs/>
          <w:sz w:val="24"/>
        </w:rPr>
        <w:t>MERCK</w:t>
      </w:r>
      <w:r w:rsidR="00DF61FB">
        <w:rPr>
          <w:rFonts w:ascii="Calibri" w:eastAsia="Calibri" w:hAnsi="Calibri" w:cs="Calibri"/>
          <w:b/>
          <w:bCs/>
          <w:sz w:val="24"/>
        </w:rPr>
        <w:t xml:space="preserve"> LIFE SCIENCE</w:t>
      </w:r>
      <w:r w:rsidR="00DF61FB" w:rsidRPr="00943E14">
        <w:rPr>
          <w:rFonts w:ascii="Calibri" w:eastAsia="Calibri" w:hAnsi="Calibri" w:cs="Calibri"/>
          <w:b/>
          <w:bCs/>
          <w:sz w:val="24"/>
        </w:rPr>
        <w:t xml:space="preserve">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DF61FB">
        <w:rPr>
          <w:rFonts w:ascii="Calibri" w:eastAsia="Calibri" w:hAnsi="Calibri" w:cstheme="minorHAnsi"/>
          <w:b/>
          <w:sz w:val="22"/>
          <w:szCs w:val="22"/>
          <w:lang w:eastAsia="en-US"/>
        </w:rPr>
        <w:t>3.078,13</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DF61FB">
        <w:rPr>
          <w:rFonts w:ascii="Calibri" w:eastAsia="Calibri" w:hAnsi="Calibri" w:cstheme="minorHAnsi"/>
          <w:b/>
          <w:bCs/>
          <w:sz w:val="22"/>
          <w:szCs w:val="22"/>
          <w:lang w:eastAsia="en-US"/>
        </w:rPr>
        <w:t>2.523,06</w:t>
      </w:r>
      <w:r w:rsidRPr="00C868E9">
        <w:rPr>
          <w:rFonts w:ascii="Calibri" w:eastAsia="Calibri" w:hAnsi="Calibri" w:cstheme="minorHAnsi"/>
          <w:b/>
          <w:bCs/>
          <w:sz w:val="22"/>
          <w:szCs w:val="22"/>
          <w:lang w:eastAsia="en-US"/>
        </w:rPr>
        <w:t xml:space="preserve"> + IVA pari a € </w:t>
      </w:r>
      <w:r w:rsidR="00DF61FB">
        <w:rPr>
          <w:rFonts w:ascii="Calibri" w:eastAsia="Calibri" w:hAnsi="Calibri" w:cstheme="minorHAnsi"/>
          <w:b/>
          <w:bCs/>
          <w:sz w:val="22"/>
          <w:szCs w:val="22"/>
          <w:lang w:eastAsia="en-US"/>
        </w:rPr>
        <w:t>555,07</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22B3E" w14:textId="77777777" w:rsidR="001A7D05" w:rsidRDefault="001A7D05" w:rsidP="002D6CD5">
      <w:r>
        <w:separator/>
      </w:r>
    </w:p>
  </w:endnote>
  <w:endnote w:type="continuationSeparator" w:id="0">
    <w:p w14:paraId="429D2FE8" w14:textId="77777777" w:rsidR="001A7D05" w:rsidRDefault="001A7D0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BE606" w14:textId="77777777" w:rsidR="001A7D05" w:rsidRDefault="001A7D05" w:rsidP="002D6CD5">
      <w:r>
        <w:separator/>
      </w:r>
    </w:p>
  </w:footnote>
  <w:footnote w:type="continuationSeparator" w:id="0">
    <w:p w14:paraId="7AC0382F" w14:textId="77777777" w:rsidR="001A7D05" w:rsidRDefault="001A7D0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A7D05"/>
    <w:rsid w:val="001E5EEA"/>
    <w:rsid w:val="002D6CD5"/>
    <w:rsid w:val="00300B19"/>
    <w:rsid w:val="00307388"/>
    <w:rsid w:val="003426B8"/>
    <w:rsid w:val="00361024"/>
    <w:rsid w:val="00370723"/>
    <w:rsid w:val="004203C9"/>
    <w:rsid w:val="00437AA5"/>
    <w:rsid w:val="004A1E8B"/>
    <w:rsid w:val="00500733"/>
    <w:rsid w:val="005960BF"/>
    <w:rsid w:val="00654078"/>
    <w:rsid w:val="006A0B4C"/>
    <w:rsid w:val="006C1BA5"/>
    <w:rsid w:val="006C1F24"/>
    <w:rsid w:val="006D5FE5"/>
    <w:rsid w:val="007725AA"/>
    <w:rsid w:val="008051C3"/>
    <w:rsid w:val="00816DAF"/>
    <w:rsid w:val="00870E1A"/>
    <w:rsid w:val="0092174C"/>
    <w:rsid w:val="00943E14"/>
    <w:rsid w:val="00977C55"/>
    <w:rsid w:val="009814F1"/>
    <w:rsid w:val="009B32AB"/>
    <w:rsid w:val="00A33E2D"/>
    <w:rsid w:val="00A6671A"/>
    <w:rsid w:val="00AA3812"/>
    <w:rsid w:val="00C07831"/>
    <w:rsid w:val="00C241D9"/>
    <w:rsid w:val="00C868E9"/>
    <w:rsid w:val="00CE50A9"/>
    <w:rsid w:val="00CE5138"/>
    <w:rsid w:val="00D90032"/>
    <w:rsid w:val="00DF61FB"/>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1486</Words>
  <Characters>8475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2021-03-24T14:29:00Z</dcterms:created>
  <dcterms:modified xsi:type="dcterms:W3CDTF">2021-03-24T14:29:00Z</dcterms:modified>
</cp:coreProperties>
</file>