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37C77B6B"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w:t>
      </w:r>
      <w:r w:rsidR="00142C43">
        <w:rPr>
          <w:b/>
          <w:bCs/>
          <w:sz w:val="22"/>
          <w:szCs w:val="22"/>
        </w:rPr>
        <w:t>96</w:t>
      </w:r>
      <w:r w:rsidR="00A55B14">
        <w:rPr>
          <w:b/>
          <w:bCs/>
          <w:sz w:val="22"/>
          <w:szCs w:val="22"/>
        </w:rPr>
        <w:t>/</w:t>
      </w:r>
      <w:r>
        <w:rPr>
          <w:b/>
          <w:bCs/>
          <w:sz w:val="22"/>
          <w:szCs w:val="22"/>
        </w:rPr>
        <w:t xml:space="preserve">TM DEL </w:t>
      </w:r>
      <w:r w:rsidR="00142C43">
        <w:rPr>
          <w:b/>
          <w:bCs/>
          <w:sz w:val="22"/>
          <w:szCs w:val="22"/>
        </w:rPr>
        <w:t>15</w:t>
      </w:r>
      <w:r w:rsidR="00E25F7E">
        <w:rPr>
          <w:b/>
          <w:bCs/>
          <w:sz w:val="22"/>
          <w:szCs w:val="22"/>
        </w:rPr>
        <w:t>/</w:t>
      </w:r>
      <w:r w:rsidR="009D1D94">
        <w:rPr>
          <w:b/>
          <w:bCs/>
          <w:sz w:val="22"/>
          <w:szCs w:val="22"/>
        </w:rPr>
        <w:t>1</w:t>
      </w:r>
      <w:r w:rsidR="00142C43">
        <w:rPr>
          <w:b/>
          <w:bCs/>
          <w:sz w:val="22"/>
          <w:szCs w:val="22"/>
        </w:rPr>
        <w:t>1</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5D44A916" w14:textId="3A7620E0" w:rsidR="00142C43" w:rsidRDefault="003E71D3" w:rsidP="00142C43">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MEPA, </w:t>
      </w:r>
      <w:r w:rsidR="00DB7907" w:rsidRPr="00DB7907">
        <w:rPr>
          <w:rFonts w:eastAsia="Calibri" w:cstheme="minorHAnsi"/>
          <w:bCs/>
        </w:rPr>
        <w:t>per un importo contrattuale pari a €</w:t>
      </w:r>
      <w:r w:rsidR="00142C43">
        <w:rPr>
          <w:rFonts w:eastAsia="Calibri" w:cstheme="minorHAnsi"/>
          <w:bCs/>
        </w:rPr>
        <w:t xml:space="preserve"> 16374,38 </w:t>
      </w:r>
      <w:r w:rsidR="00DB7907" w:rsidRPr="00DB7907">
        <w:rPr>
          <w:rFonts w:eastAsia="Calibri" w:cstheme="minorHAnsi"/>
          <w:bCs/>
        </w:rPr>
        <w:t xml:space="preserve">(IVA esclusa) per </w:t>
      </w:r>
      <w:r w:rsidR="005001F9">
        <w:rPr>
          <w:rFonts w:eastAsia="Calibri" w:cstheme="minorHAnsi"/>
          <w:bCs/>
        </w:rPr>
        <w:t>il servizio/fornitura di</w:t>
      </w:r>
      <w:r w:rsidR="00142C43">
        <w:rPr>
          <w:rFonts w:eastAsia="Calibri" w:cstheme="minorHAnsi"/>
          <w:bCs/>
        </w:rPr>
        <w:t xml:space="preserve"> una </w:t>
      </w:r>
      <w:proofErr w:type="spellStart"/>
      <w:r w:rsidR="00142C43">
        <w:rPr>
          <w:rFonts w:eastAsia="Calibri" w:cstheme="minorHAnsi"/>
          <w:bCs/>
        </w:rPr>
        <w:t>biostampante</w:t>
      </w:r>
      <w:proofErr w:type="spellEnd"/>
      <w:r w:rsidR="00C269AD" w:rsidRPr="00C269AD">
        <w:rPr>
          <w:rFonts w:eastAsia="Calibri" w:cstheme="minorHAnsi"/>
          <w:b/>
        </w:rPr>
        <w:t xml:space="preserve"> </w:t>
      </w:r>
    </w:p>
    <w:p w14:paraId="2105F5BA" w14:textId="778FA89E" w:rsidR="00D62152" w:rsidRPr="00142C43" w:rsidRDefault="00142C43" w:rsidP="00142C43">
      <w:pPr>
        <w:tabs>
          <w:tab w:val="left" w:pos="3221"/>
        </w:tabs>
        <w:kinsoku w:val="0"/>
        <w:overflowPunct w:val="0"/>
        <w:spacing w:before="1"/>
        <w:jc w:val="both"/>
        <w:rPr>
          <w:rFonts w:eastAsia="Calibri" w:cstheme="minorHAnsi"/>
          <w:b/>
        </w:rPr>
      </w:pPr>
      <w:r>
        <w:rPr>
          <w:rFonts w:eastAsia="Calibri" w:cstheme="minorHAnsi"/>
          <w:b/>
        </w:rPr>
        <w:t xml:space="preserve">CIG </w:t>
      </w:r>
      <w:r w:rsidRPr="00142C43">
        <w:rPr>
          <w:rFonts w:eastAsia="Calibri" w:cstheme="minorHAnsi"/>
          <w:b/>
        </w:rPr>
        <w:t>Z9833EA6CB</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41832838" w14:textId="77777777" w:rsidR="00134360" w:rsidRDefault="00134360" w:rsidP="00D53B71">
      <w:pPr>
        <w:jc w:val="both"/>
        <w:rPr>
          <w:b/>
        </w:rPr>
      </w:pPr>
    </w:p>
    <w:p w14:paraId="5FAACD00" w14:textId="77777777" w:rsidR="00F2244E" w:rsidRDefault="00F2244E" w:rsidP="00D53B71">
      <w:pPr>
        <w:jc w:val="both"/>
        <w:rPr>
          <w:b/>
        </w:rPr>
      </w:pPr>
    </w:p>
    <w:p w14:paraId="36875EFA" w14:textId="2583DE44"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14EFFF72" w14:textId="77777777" w:rsidR="00D62152" w:rsidRDefault="00D62152" w:rsidP="00D62152">
      <w:pPr>
        <w:jc w:val="both"/>
      </w:pPr>
    </w:p>
    <w:p w14:paraId="5DEC44A7" w14:textId="4FF8C024" w:rsidR="00D62152" w:rsidRPr="00142C43" w:rsidRDefault="00D62152" w:rsidP="00D62152">
      <w:pPr>
        <w:jc w:val="both"/>
        <w:rPr>
          <w:b/>
          <w:bCs/>
          <w:sz w:val="25"/>
          <w:szCs w:val="25"/>
        </w:rPr>
      </w:pPr>
      <w:r w:rsidRPr="00D908B9">
        <w:rPr>
          <w:b/>
          <w:bCs/>
          <w:sz w:val="25"/>
          <w:szCs w:val="25"/>
        </w:rPr>
        <w:t>CONSIDERATO</w:t>
      </w:r>
      <w:r w:rsidRPr="00C85806">
        <w:rPr>
          <w:sz w:val="25"/>
          <w:szCs w:val="25"/>
        </w:rPr>
        <w:t xml:space="preserve"> che</w:t>
      </w:r>
      <w:r>
        <w:rPr>
          <w:sz w:val="25"/>
          <w:szCs w:val="25"/>
        </w:rPr>
        <w:t xml:space="preserve"> </w:t>
      </w:r>
      <w:r w:rsidRPr="00C85806">
        <w:rPr>
          <w:sz w:val="25"/>
          <w:szCs w:val="25"/>
        </w:rPr>
        <w:t xml:space="preserve">ai sensi di quanto disposto dall’art. 4 del D.L. 126/2019, convertito con modificazioni dalla L. 20 dicembre 2019, n. 159, non si applicano alle università, per l'acquisto di </w:t>
      </w:r>
      <w:r w:rsidRPr="00142C43">
        <w:rPr>
          <w:b/>
          <w:bCs/>
          <w:sz w:val="25"/>
          <w:szCs w:val="25"/>
        </w:rPr>
        <w:t>beni e servizi funzionalmente destinati all’attività di ricerca</w:t>
      </w:r>
      <w:r w:rsidRPr="00C85806">
        <w:rPr>
          <w:sz w:val="25"/>
          <w:szCs w:val="25"/>
        </w:rPr>
        <w:t xml:space="preserve">, </w:t>
      </w:r>
      <w:r w:rsidRPr="00142C43">
        <w:rPr>
          <w:b/>
          <w:bCs/>
          <w:sz w:val="25"/>
          <w:szCs w:val="25"/>
        </w:rPr>
        <w:t xml:space="preserve">trasferimento tecnologico e terza missione: </w:t>
      </w:r>
    </w:p>
    <w:p w14:paraId="4C12B613" w14:textId="77777777" w:rsidR="00D62152" w:rsidRDefault="00D62152" w:rsidP="00D62152">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04DFD6F7" w14:textId="77777777" w:rsidR="00D62152" w:rsidRPr="00C85806" w:rsidRDefault="00D62152" w:rsidP="00D62152">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6BC41F28" w14:textId="77777777" w:rsidR="00D62152" w:rsidRPr="003E71D3" w:rsidRDefault="00D62152" w:rsidP="00D53B71">
      <w:pPr>
        <w:jc w:val="both"/>
      </w:pPr>
    </w:p>
    <w:p w14:paraId="583554F8" w14:textId="433C95F9" w:rsidR="00475F74" w:rsidRDefault="00475F74" w:rsidP="00475F74">
      <w:pPr>
        <w:jc w:val="both"/>
      </w:pPr>
      <w:r>
        <w:rPr>
          <w:b/>
        </w:rPr>
        <w:t>VISTA</w:t>
      </w:r>
      <w:r>
        <w:t xml:space="preserve"> la richiesta del Prof. </w:t>
      </w:r>
      <w:proofErr w:type="spellStart"/>
      <w:r w:rsidR="00142C43">
        <w:t>Grizzuti</w:t>
      </w:r>
      <w:proofErr w:type="spellEnd"/>
      <w:r w:rsidR="00142C43">
        <w:t xml:space="preserve"> N</w:t>
      </w:r>
      <w:r>
        <w:t xml:space="preserve">., </w:t>
      </w:r>
      <w:r w:rsidRPr="00B2546D">
        <w:t>con la quale chiedeva di acquis</w:t>
      </w:r>
      <w:r>
        <w:t>tare la fornitura di</w:t>
      </w:r>
      <w:r w:rsidR="00142C43">
        <w:t xml:space="preserve"> una </w:t>
      </w:r>
      <w:r w:rsidR="00142C43" w:rsidRPr="00142C43">
        <w:rPr>
          <w:b/>
          <w:bCs/>
        </w:rPr>
        <w:t>strumentazione da laboratorio</w:t>
      </w:r>
      <w:r w:rsidR="00C269AD" w:rsidRPr="00142C43">
        <w:rPr>
          <w:b/>
          <w:bCs/>
        </w:rPr>
        <w:t>, in particolare</w:t>
      </w:r>
      <w:r w:rsidRPr="00142C43">
        <w:rPr>
          <w:b/>
          <w:bCs/>
        </w:rPr>
        <w:t>,</w:t>
      </w:r>
      <w:r w:rsidR="009D1D94" w:rsidRPr="00142C43">
        <w:rPr>
          <w:b/>
          <w:bCs/>
        </w:rPr>
        <w:t xml:space="preserve"> n.1 </w:t>
      </w:r>
      <w:proofErr w:type="spellStart"/>
      <w:r w:rsidR="00142C43" w:rsidRPr="00142C43">
        <w:rPr>
          <w:b/>
          <w:bCs/>
        </w:rPr>
        <w:t>biostampante</w:t>
      </w:r>
      <w:proofErr w:type="spellEnd"/>
      <w:r w:rsidR="00142C43">
        <w:rPr>
          <w:b/>
          <w:bCs/>
        </w:rPr>
        <w:t xml:space="preserve"> 3D</w:t>
      </w:r>
      <w:r w:rsidR="009D1D94">
        <w:rPr>
          <w:b/>
          <w:bCs/>
        </w:rPr>
        <w:t>,</w:t>
      </w:r>
      <w:r w:rsidR="00C269AD">
        <w:rPr>
          <w:b/>
          <w:bCs/>
        </w:rPr>
        <w:t xml:space="preserve"> </w:t>
      </w:r>
      <w:r>
        <w:t xml:space="preserve">per le esigenze relative alle attività </w:t>
      </w:r>
      <w:r w:rsidRPr="008652FB">
        <w:t xml:space="preserve">di ricerca </w:t>
      </w:r>
      <w:r>
        <w:t>da condurre nell’ambito del progetto</w:t>
      </w:r>
      <w:r w:rsidR="009D1D94">
        <w:t xml:space="preserve"> </w:t>
      </w:r>
      <w:r w:rsidR="00142C43">
        <w:t>RIASS-ECON-2018-Grizzuti</w:t>
      </w:r>
      <w:r w:rsidR="00E25F7E">
        <w:t>;</w:t>
      </w:r>
    </w:p>
    <w:p w14:paraId="110992A7" w14:textId="77777777" w:rsidR="00E642FE" w:rsidRDefault="00E642FE" w:rsidP="00E642FE">
      <w:pPr>
        <w:rPr>
          <w:b/>
        </w:rPr>
      </w:pPr>
    </w:p>
    <w:p w14:paraId="374BD202" w14:textId="77777777"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14:paraId="72C4592F" w14:textId="77777777" w:rsidR="00475F74" w:rsidRDefault="00475F74" w:rsidP="00475F74">
      <w:pPr>
        <w:jc w:val="both"/>
      </w:pP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46FDE986"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il bene/servizio richiesto non </w:t>
      </w:r>
      <w:r w:rsidR="00142C43">
        <w:t xml:space="preserve">è presente nelle convenzioni </w:t>
      </w:r>
      <w:proofErr w:type="spellStart"/>
      <w:r w:rsidR="00142C43">
        <w:t>consip</w:t>
      </w:r>
      <w:proofErr w:type="spellEnd"/>
      <w:r w:rsidR="00142C43">
        <w:t xml:space="preserve"> attive</w:t>
      </w:r>
      <w:r w:rsidR="00D62152">
        <w:t>;</w:t>
      </w:r>
    </w:p>
    <w:p w14:paraId="68455D0E" w14:textId="77777777" w:rsidR="00D62152" w:rsidRDefault="00D62152" w:rsidP="00E642FE">
      <w:pPr>
        <w:jc w:val="both"/>
      </w:pPr>
    </w:p>
    <w:p w14:paraId="7CC25E62" w14:textId="45C92EEA"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8656F9">
        <w:rPr>
          <w:bCs/>
        </w:rPr>
        <w:t>,</w:t>
      </w:r>
      <w:r w:rsidR="00C269AD" w:rsidRPr="00C269AD">
        <w:rPr>
          <w:bCs/>
        </w:rPr>
        <w:t xml:space="preserve"> </w:t>
      </w:r>
      <w:r w:rsidR="008656F9">
        <w:rPr>
          <w:bCs/>
        </w:rPr>
        <w:t>a seguito di indagine di mercato informale,</w:t>
      </w:r>
      <w:r w:rsidR="00E070A0">
        <w:rPr>
          <w:bCs/>
        </w:rPr>
        <w:t xml:space="preserve"> </w:t>
      </w:r>
      <w:r w:rsidR="00C269AD" w:rsidRPr="00C269AD">
        <w:rPr>
          <w:bCs/>
        </w:rPr>
        <w:t xml:space="preserve">la ditta </w:t>
      </w:r>
      <w:proofErr w:type="spellStart"/>
      <w:r w:rsidR="00142C43">
        <w:rPr>
          <w:bCs/>
        </w:rPr>
        <w:t>Cellink</w:t>
      </w:r>
      <w:proofErr w:type="spellEnd"/>
      <w:r w:rsidR="008656F9">
        <w:rPr>
          <w:bCs/>
        </w:rPr>
        <w:t xml:space="preserve">, con sede in </w:t>
      </w:r>
      <w:r w:rsidR="00142C43">
        <w:rPr>
          <w:bCs/>
        </w:rPr>
        <w:t>Svezia</w:t>
      </w:r>
      <w:r w:rsidR="008656F9">
        <w:rPr>
          <w:bCs/>
        </w:rPr>
        <w:t xml:space="preserve"> – </w:t>
      </w:r>
      <w:proofErr w:type="spellStart"/>
      <w:proofErr w:type="gramStart"/>
      <w:r w:rsidR="008656F9">
        <w:rPr>
          <w:bCs/>
        </w:rPr>
        <w:t>p.iva</w:t>
      </w:r>
      <w:proofErr w:type="spellEnd"/>
      <w:r w:rsidR="008656F9">
        <w:rPr>
          <w:bCs/>
        </w:rPr>
        <w:t xml:space="preserve"> </w:t>
      </w:r>
      <w:r w:rsidR="00C269AD" w:rsidRPr="00C269AD">
        <w:rPr>
          <w:bCs/>
        </w:rPr>
        <w:t xml:space="preserve"> </w:t>
      </w:r>
      <w:r w:rsidR="00142C43">
        <w:rPr>
          <w:bCs/>
        </w:rPr>
        <w:t>SE</w:t>
      </w:r>
      <w:proofErr w:type="gramEnd"/>
      <w:r w:rsidR="00142C43" w:rsidRPr="00142C43">
        <w:rPr>
          <w:bCs/>
        </w:rPr>
        <w:t>559314616901</w:t>
      </w:r>
      <w:r w:rsidR="008656F9" w:rsidRPr="008656F9">
        <w:rPr>
          <w:bCs/>
        </w:rPr>
        <w:t>;</w:t>
      </w:r>
    </w:p>
    <w:p w14:paraId="1310A529" w14:textId="77777777" w:rsidR="00C269AD" w:rsidRPr="00C269AD" w:rsidRDefault="00C269AD" w:rsidP="00C269AD">
      <w:pPr>
        <w:jc w:val="both"/>
        <w:rPr>
          <w:bCs/>
        </w:rPr>
      </w:pPr>
    </w:p>
    <w:p w14:paraId="009CC57A" w14:textId="77C387B9" w:rsidR="00C269AD" w:rsidRPr="00C269AD" w:rsidRDefault="00C269AD" w:rsidP="00C269AD">
      <w:pPr>
        <w:jc w:val="both"/>
        <w:rPr>
          <w:bCs/>
        </w:rPr>
      </w:pPr>
      <w:r w:rsidRPr="00C269AD">
        <w:rPr>
          <w:b/>
        </w:rPr>
        <w:t>CONSIDERATO</w:t>
      </w:r>
      <w:r w:rsidRPr="00C269AD">
        <w:rPr>
          <w:bCs/>
        </w:rPr>
        <w:t xml:space="preserve"> che la ditta suddetta offre il prodotto al prezzo di euro</w:t>
      </w:r>
      <w:r w:rsidR="009D1D94">
        <w:rPr>
          <w:bCs/>
        </w:rPr>
        <w:t xml:space="preserve"> </w:t>
      </w:r>
      <w:r w:rsidR="00142C43">
        <w:rPr>
          <w:bCs/>
        </w:rPr>
        <w:t>16</w:t>
      </w:r>
      <w:r w:rsidR="000D1065">
        <w:rPr>
          <w:bCs/>
        </w:rPr>
        <w:t>.</w:t>
      </w:r>
      <w:r w:rsidR="00142C43">
        <w:rPr>
          <w:bCs/>
        </w:rPr>
        <w:t>374</w:t>
      </w:r>
      <w:r w:rsidR="009D1D94">
        <w:rPr>
          <w:bCs/>
        </w:rPr>
        <w:t>,</w:t>
      </w:r>
      <w:r w:rsidR="00142C43">
        <w:rPr>
          <w:bCs/>
        </w:rPr>
        <w:t>38</w:t>
      </w:r>
      <w:r w:rsidRPr="00C269AD">
        <w:rPr>
          <w:bCs/>
        </w:rPr>
        <w:t xml:space="preserve"> (IVA esclusa) e che è stata appurata la congruità del prezzo e che tale offerta contrattuale soddisfa pienamente le esigenze dell’amministrazione, sia in termini di qualità, di affidabilità, di celerità e di prezzo;</w:t>
      </w:r>
    </w:p>
    <w:p w14:paraId="195099E9" w14:textId="77777777" w:rsidR="00E642FE" w:rsidRDefault="00243F59" w:rsidP="00E642FE">
      <w:pPr>
        <w:jc w:val="both"/>
      </w:pPr>
      <w:r>
        <w:t xml:space="preserve"> </w:t>
      </w: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185C236A" w14:textId="77777777" w:rsidR="00E642FE" w:rsidRDefault="00E642FE" w:rsidP="00E642FE">
      <w:pPr>
        <w:jc w:val="both"/>
        <w:rPr>
          <w:b/>
        </w:rPr>
      </w:pPr>
    </w:p>
    <w:p w14:paraId="21C76B2F" w14:textId="77777777" w:rsidR="00E642FE" w:rsidRDefault="00E642FE" w:rsidP="00E642FE">
      <w:pPr>
        <w:jc w:val="both"/>
      </w:pPr>
      <w:r w:rsidRPr="00193B04">
        <w:rPr>
          <w:b/>
        </w:rPr>
        <w:lastRenderedPageBreak/>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1F25D083"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142C43">
        <w:rPr>
          <w:bCs/>
        </w:rPr>
        <w:t>Cellink</w:t>
      </w:r>
      <w:proofErr w:type="spellEnd"/>
      <w:r w:rsidR="009D1D94">
        <w:rPr>
          <w:bCs/>
        </w:rPr>
        <w:t xml:space="preserve"> </w:t>
      </w:r>
      <w:r w:rsidRPr="00771279">
        <w:t xml:space="preserve">la fornitura del </w:t>
      </w:r>
      <w:r w:rsidR="00475B4A">
        <w:t>bene/</w:t>
      </w:r>
      <w:r w:rsidRPr="00771279">
        <w:t xml:space="preserve">servizio in oggetto, per una spesa complessiva pari ad € </w:t>
      </w:r>
      <w:r w:rsidR="00142C43">
        <w:t>16374,38</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3C5D83F7"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142C43">
        <w:rPr>
          <w:rFonts w:ascii="Times New Roman" w:hAnsi="Times New Roman" w:cs="Times New Roman"/>
          <w:sz w:val="24"/>
          <w:szCs w:val="24"/>
          <w:lang w:val="it-IT"/>
        </w:rPr>
        <w:t xml:space="preserve"> Riass-Econ-2018-Grizzuti;</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585F678D" w14:textId="77777777" w:rsidR="001F18C0" w:rsidRDefault="001F18C0" w:rsidP="001F18C0">
      <w:pPr>
        <w:pStyle w:val="Paragrafoelenco"/>
      </w:pPr>
    </w:p>
    <w:p w14:paraId="5F146875" w14:textId="4F31016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142C43">
        <w:t>Grizzuti</w:t>
      </w:r>
      <w:proofErr w:type="spellEnd"/>
      <w:r w:rsidR="00142C43">
        <w:t xml:space="preserve"> N</w:t>
      </w:r>
      <w:r w:rsidR="00475F74">
        <w:t>.</w:t>
      </w:r>
      <w:r w:rsidRPr="008C0C9F">
        <w:t>,</w:t>
      </w:r>
      <w:r>
        <w:t xml:space="preserve"> </w:t>
      </w:r>
      <w:r w:rsidRPr="00C13128">
        <w:t xml:space="preserve">docente in servizio presso il </w:t>
      </w:r>
      <w:r>
        <w:t>DICMAPI;</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605CD" w14:textId="77777777" w:rsidR="0013115C" w:rsidRDefault="0013115C" w:rsidP="0021573F">
      <w:r>
        <w:separator/>
      </w:r>
    </w:p>
  </w:endnote>
  <w:endnote w:type="continuationSeparator" w:id="0">
    <w:p w14:paraId="4FFDA492" w14:textId="77777777" w:rsidR="0013115C" w:rsidRDefault="0013115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387BE" w14:textId="77777777" w:rsidR="0013115C" w:rsidRDefault="0013115C" w:rsidP="0021573F">
      <w:r>
        <w:separator/>
      </w:r>
    </w:p>
  </w:footnote>
  <w:footnote w:type="continuationSeparator" w:id="0">
    <w:p w14:paraId="269543C4" w14:textId="77777777" w:rsidR="0013115C" w:rsidRDefault="0013115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1065"/>
    <w:rsid w:val="000D7296"/>
    <w:rsid w:val="000E4B89"/>
    <w:rsid w:val="000F3521"/>
    <w:rsid w:val="00102010"/>
    <w:rsid w:val="001035CC"/>
    <w:rsid w:val="001043DA"/>
    <w:rsid w:val="001069C2"/>
    <w:rsid w:val="0011166C"/>
    <w:rsid w:val="00113247"/>
    <w:rsid w:val="00114B34"/>
    <w:rsid w:val="00117DCC"/>
    <w:rsid w:val="001248A7"/>
    <w:rsid w:val="0013115C"/>
    <w:rsid w:val="00134360"/>
    <w:rsid w:val="0013466E"/>
    <w:rsid w:val="001369B5"/>
    <w:rsid w:val="00142C43"/>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B3DAE"/>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1550</TotalTime>
  <Pages>3</Pages>
  <Words>1089</Words>
  <Characters>6213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211</cp:revision>
  <cp:lastPrinted>2021-11-15T15:24:00Z</cp:lastPrinted>
  <dcterms:created xsi:type="dcterms:W3CDTF">2017-02-27T10:19:00Z</dcterms:created>
  <dcterms:modified xsi:type="dcterms:W3CDTF">2021-11-19T08:05:00Z</dcterms:modified>
</cp:coreProperties>
</file>