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E383" w14:textId="7D52D715"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w:t>
      </w:r>
      <w:r w:rsidR="00D91C26">
        <w:rPr>
          <w:rFonts w:cs="Calibri"/>
          <w:b/>
          <w:bCs/>
          <w:sz w:val="32"/>
          <w:szCs w:val="32"/>
        </w:rPr>
        <w:t xml:space="preserve"> </w:t>
      </w:r>
      <w:r w:rsidR="005E0F11">
        <w:rPr>
          <w:rFonts w:cs="Calibri"/>
          <w:b/>
          <w:bCs/>
          <w:sz w:val="32"/>
          <w:szCs w:val="32"/>
        </w:rPr>
        <w:t>1</w:t>
      </w:r>
      <w:r w:rsidR="00C52191">
        <w:rPr>
          <w:rFonts w:cs="Calibri"/>
          <w:b/>
          <w:bCs/>
          <w:sz w:val="32"/>
          <w:szCs w:val="32"/>
        </w:rPr>
        <w:t>1</w:t>
      </w:r>
      <w:r w:rsidR="009A21F2">
        <w:rPr>
          <w:rFonts w:cs="Calibri"/>
          <w:b/>
          <w:bCs/>
          <w:sz w:val="32"/>
          <w:szCs w:val="32"/>
        </w:rPr>
        <w:t>9</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1F5494">
        <w:rPr>
          <w:rFonts w:cs="Calibri"/>
          <w:b/>
          <w:bCs/>
          <w:sz w:val="32"/>
          <w:szCs w:val="32"/>
        </w:rPr>
        <w:t>2</w:t>
      </w:r>
      <w:r w:rsidR="009A21F2">
        <w:rPr>
          <w:rFonts w:cs="Calibri"/>
          <w:b/>
          <w:bCs/>
          <w:sz w:val="32"/>
          <w:szCs w:val="32"/>
        </w:rPr>
        <w:t>8</w:t>
      </w:r>
      <w:r w:rsidRPr="00C151C6">
        <w:rPr>
          <w:rFonts w:cs="Calibri"/>
          <w:b/>
          <w:bCs/>
          <w:sz w:val="32"/>
          <w:szCs w:val="32"/>
        </w:rPr>
        <w:t>-0</w:t>
      </w:r>
      <w:r w:rsidR="00C44CBC">
        <w:rPr>
          <w:rFonts w:cs="Calibri"/>
          <w:b/>
          <w:bCs/>
          <w:sz w:val="32"/>
          <w:szCs w:val="32"/>
        </w:rPr>
        <w:t>4</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57A828BA" w14:textId="3BEFFE46" w:rsidR="00A65ADF" w:rsidRPr="00A65ADF" w:rsidRDefault="00C977E2" w:rsidP="00A65ADF">
            <w:pPr>
              <w:shd w:val="clear" w:color="auto" w:fill="FFFFFF"/>
              <w:spacing w:before="0" w:after="0"/>
              <w:jc w:val="both"/>
              <w:rPr>
                <w:rFonts w:ascii="Verdana" w:hAnsi="Verdana"/>
                <w:b/>
                <w:bCs/>
                <w:sz w:val="19"/>
                <w:szCs w:val="19"/>
                <w:shd w:val="clear" w:color="auto" w:fill="DFF2BF"/>
              </w:rPr>
            </w:pPr>
            <w:r w:rsidRPr="006F1AA0">
              <w:rPr>
                <w:rFonts w:eastAsia="Calibri" w:cstheme="minorHAnsi"/>
                <w:b/>
                <w:bCs/>
              </w:rPr>
              <w:t>Determina per l’affidamento diretto</w:t>
            </w:r>
            <w:r w:rsidR="00FA479D" w:rsidRPr="006F1AA0">
              <w:rPr>
                <w:rFonts w:eastAsia="Calibri" w:cstheme="minorHAnsi"/>
                <w:b/>
                <w:bCs/>
              </w:rPr>
              <w:t xml:space="preserve"> per acquisto</w:t>
            </w:r>
            <w:r w:rsidRPr="006F1AA0">
              <w:rPr>
                <w:rFonts w:eastAsia="Calibri" w:cstheme="minorHAnsi"/>
                <w:b/>
                <w:bCs/>
              </w:rPr>
              <w:t xml:space="preserve"> di</w:t>
            </w:r>
            <w:r w:rsidR="00112963" w:rsidRPr="006F1AA0">
              <w:rPr>
                <w:rFonts w:eastAsia="Calibri" w:cstheme="minorHAnsi"/>
                <w:b/>
                <w:bCs/>
              </w:rPr>
              <w:t xml:space="preserve"> </w:t>
            </w:r>
            <w:r w:rsidR="00A65ADF" w:rsidRPr="00A65ADF">
              <w:rPr>
                <w:rFonts w:eastAsia="Calibri" w:cstheme="minorHAnsi"/>
                <w:b/>
                <w:bCs/>
              </w:rPr>
              <w:t>n</w:t>
            </w:r>
            <w:r w:rsidR="00A65ADF" w:rsidRPr="00A65ADF">
              <w:rPr>
                <w:rFonts w:eastAsia="Times New Roman" w:cs="Times New Roman"/>
                <w:b/>
                <w:bCs/>
                <w:color w:val="000000"/>
                <w:lang w:eastAsia="it-IT"/>
              </w:rPr>
              <w:t>.01“</w:t>
            </w:r>
            <w:r w:rsidR="00A65ADF" w:rsidRPr="00A65ADF">
              <w:rPr>
                <w:b/>
                <w:bCs/>
              </w:rPr>
              <w:t>VIDEOPROIETTORE Acer P1260BTI XGA (1024x768) 4.000 ANSI lumen MR.JSW11.001</w:t>
            </w:r>
            <w:r w:rsidR="00A65ADF" w:rsidRPr="00A65ADF">
              <w:rPr>
                <w:rFonts w:eastAsia="Times New Roman" w:cs="Times New Roman"/>
                <w:b/>
                <w:bCs/>
                <w:color w:val="333333"/>
                <w:lang w:eastAsia="it-IT"/>
              </w:rPr>
              <w:t xml:space="preserve">” e n. 3 </w:t>
            </w:r>
            <w:r w:rsidR="00A65ADF" w:rsidRPr="00A65ADF">
              <w:rPr>
                <w:b/>
                <w:bCs/>
              </w:rPr>
              <w:t>ADATTATORI LENOVO PER NOTEBOOK, PORTE USB-HDMI-VGA, 40AU0065EU</w:t>
            </w:r>
            <w:r w:rsidR="00A65ADF" w:rsidRPr="00A65ADF">
              <w:rPr>
                <w:rFonts w:eastAsia="Times New Roman" w:cs="Times New Roman"/>
                <w:b/>
                <w:bCs/>
                <w:color w:val="333333"/>
                <w:lang w:eastAsia="it-IT"/>
              </w:rPr>
              <w:t xml:space="preserve"> ”</w:t>
            </w:r>
            <w:r w:rsidR="00A65ADF" w:rsidRPr="002C36C1">
              <w:rPr>
                <w:rFonts w:ascii="Calibri" w:eastAsia="Calibri" w:hAnsi="Calibri" w:cs="Calibri"/>
              </w:rPr>
              <w:t>;</w:t>
            </w:r>
            <w:r w:rsidR="00AA31CA" w:rsidRPr="006F1AA0">
              <w:t xml:space="preserve"> </w:t>
            </w:r>
            <w:r w:rsidRPr="006F1AA0">
              <w:rPr>
                <w:rFonts w:eastAsia="Calibri" w:cstheme="minorHAnsi"/>
                <w:b/>
                <w:bCs/>
              </w:rPr>
              <w:t xml:space="preserve">ai sensi dell’art. 36, comma 2, lettera a) del D.Lgs. 50/2016, mediante Ordine Diretto sul Mercato Elettronico della Pubblica Amministrazione (MEPA), per un importo contrattuale pari a € </w:t>
            </w:r>
            <w:r w:rsidR="00A65ADF">
              <w:rPr>
                <w:rFonts w:eastAsia="Calibri" w:cstheme="minorHAnsi"/>
                <w:b/>
                <w:bCs/>
              </w:rPr>
              <w:t>832,24</w:t>
            </w:r>
            <w:r w:rsidR="00AA31CA" w:rsidRPr="006F1AA0">
              <w:rPr>
                <w:rFonts w:eastAsia="Calibri" w:cstheme="minorHAnsi"/>
                <w:b/>
                <w:bCs/>
              </w:rPr>
              <w:t xml:space="preserve"> </w:t>
            </w:r>
            <w:r w:rsidRPr="006F1AA0">
              <w:rPr>
                <w:rFonts w:eastAsia="Calibri" w:cstheme="minorHAnsi"/>
                <w:b/>
                <w:bCs/>
              </w:rPr>
              <w:t>(IVA esclusa),</w:t>
            </w:r>
            <w:r w:rsidR="00ED18CC" w:rsidRPr="006F1AA0">
              <w:rPr>
                <w:rFonts w:eastAsia="Calibri" w:cstheme="minorHAnsi"/>
                <w:b/>
                <w:bCs/>
                <w:color w:val="000000" w:themeColor="text1"/>
              </w:rPr>
              <w:t xml:space="preserve"> </w:t>
            </w:r>
            <w:r w:rsidRPr="006F1AA0">
              <w:rPr>
                <w:rFonts w:eastAsia="Calibri" w:cstheme="minorHAnsi"/>
                <w:b/>
                <w:bCs/>
                <w:color w:val="000000" w:themeColor="text1"/>
              </w:rPr>
              <w:t xml:space="preserve">CIG </w:t>
            </w:r>
            <w:r w:rsidR="00A65ADF">
              <w:rPr>
                <w:rStyle w:val="Enfasigrassetto"/>
                <w:rFonts w:ascii="Verdana" w:hAnsi="Verdana"/>
                <w:color w:val="000000"/>
                <w:sz w:val="19"/>
                <w:szCs w:val="19"/>
              </w:rPr>
              <w:t>Z7A3184A2D</w:t>
            </w:r>
          </w:p>
          <w:p w14:paraId="3ABAAE3D" w14:textId="667043A3" w:rsidR="001F5494" w:rsidRPr="001F5494" w:rsidRDefault="001F5494" w:rsidP="001F5494">
            <w:pPr>
              <w:shd w:val="clear" w:color="auto" w:fill="FFFFFF"/>
              <w:spacing w:before="0" w:after="0"/>
              <w:jc w:val="both"/>
              <w:rPr>
                <w:rFonts w:ascii="Verdana" w:hAnsi="Verdana"/>
                <w:b/>
                <w:bCs/>
                <w:sz w:val="19"/>
                <w:szCs w:val="19"/>
                <w:shd w:val="clear" w:color="auto" w:fill="DFF2BF"/>
              </w:rPr>
            </w:pPr>
          </w:p>
          <w:p w14:paraId="3790DEA2" w14:textId="404CBC10" w:rsidR="00AA31CA" w:rsidRPr="006F1AA0" w:rsidRDefault="00AA31CA" w:rsidP="0083389E">
            <w:pPr>
              <w:shd w:val="clear" w:color="auto" w:fill="FFFFFF"/>
              <w:spacing w:before="0" w:after="0"/>
              <w:jc w:val="both"/>
              <w:rPr>
                <w:rFonts w:eastAsia="Times New Roman" w:cs="Times New Roman"/>
                <w:color w:val="333333"/>
                <w:lang w:eastAsia="it-IT"/>
              </w:rPr>
            </w:pPr>
          </w:p>
          <w:p w14:paraId="01DF802D" w14:textId="1DFE0DCF" w:rsidR="00C977E2" w:rsidRPr="007162CD" w:rsidRDefault="00C977E2" w:rsidP="0083389E">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lastRenderedPageBreak/>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75638372" w:rsidR="00C977E2" w:rsidRPr="00735F8B" w:rsidRDefault="00C977E2" w:rsidP="00FA479D">
            <w:pPr>
              <w:rPr>
                <w:rFonts w:eastAsia="Calibri" w:cstheme="minorHAnsi"/>
                <w:b/>
              </w:rPr>
            </w:pPr>
            <w:r w:rsidRPr="00735F8B">
              <w:rPr>
                <w:rFonts w:eastAsia="Calibri" w:cstheme="minorHAnsi"/>
                <w:b/>
              </w:rPr>
              <w:t>VIST</w:t>
            </w:r>
            <w:r w:rsidR="006C35C0">
              <w:rPr>
                <w:rFonts w:eastAsia="Calibri" w:cstheme="minorHAnsi"/>
                <w:b/>
              </w:rPr>
              <w:t>A</w:t>
            </w:r>
          </w:p>
        </w:tc>
        <w:tc>
          <w:tcPr>
            <w:tcW w:w="7971" w:type="dxa"/>
            <w:shd w:val="clear" w:color="auto" w:fill="auto"/>
          </w:tcPr>
          <w:p w14:paraId="1970B599" w14:textId="29D9CCE1"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6C35C0">
              <w:rPr>
                <w:rFonts w:ascii="Calibri" w:eastAsia="Calibri" w:hAnsi="Calibri" w:cs="Calibri"/>
              </w:rPr>
              <w:t>a</w:t>
            </w:r>
            <w:r w:rsidR="00A21780" w:rsidRPr="00FF2282">
              <w:rPr>
                <w:rFonts w:ascii="Calibri" w:eastAsia="Calibri" w:hAnsi="Calibri" w:cs="Calibri"/>
              </w:rPr>
              <w:t xml:space="preserve"> not</w:t>
            </w:r>
            <w:r w:rsidR="006C35C0">
              <w:rPr>
                <w:rFonts w:ascii="Calibri" w:eastAsia="Calibri" w:hAnsi="Calibri" w:cs="Calibri"/>
              </w:rPr>
              <w:t>a</w:t>
            </w:r>
            <w:r w:rsidR="00A21780" w:rsidRPr="00FF2282">
              <w:rPr>
                <w:rFonts w:ascii="Calibri" w:eastAsia="Calibri" w:hAnsi="Calibri" w:cs="Calibri"/>
              </w:rPr>
              <w:t xml:space="preserve"> de</w:t>
            </w:r>
            <w:r w:rsidR="006C35C0">
              <w:rPr>
                <w:rFonts w:ascii="Calibri" w:eastAsia="Calibri" w:hAnsi="Calibri" w:cs="Calibri"/>
              </w:rPr>
              <w:t>l</w:t>
            </w:r>
            <w:r w:rsidR="001F5494">
              <w:rPr>
                <w:rFonts w:ascii="Calibri" w:eastAsia="Calibri" w:hAnsi="Calibri" w:cs="Calibri"/>
              </w:rPr>
              <w:t xml:space="preserve"> prof. Francesco Pirozzi</w:t>
            </w:r>
            <w:r w:rsidR="00AA31CA">
              <w:rPr>
                <w:rFonts w:ascii="Calibri" w:eastAsia="Calibri" w:hAnsi="Calibri" w:cs="Calibri"/>
              </w:rPr>
              <w:t xml:space="preserve"> </w:t>
            </w:r>
            <w:r w:rsidR="00A21780" w:rsidRPr="00FF2282">
              <w:rPr>
                <w:rFonts w:ascii="Calibri" w:eastAsia="Calibri" w:hAnsi="Calibri" w:cs="Calibri"/>
              </w:rPr>
              <w:t>con l</w:t>
            </w:r>
            <w:r w:rsidR="006C35C0">
              <w:rPr>
                <w:rFonts w:ascii="Calibri" w:eastAsia="Calibri" w:hAnsi="Calibri" w:cs="Calibri"/>
              </w:rPr>
              <w:t>a</w:t>
            </w:r>
            <w:r w:rsidR="00A21780" w:rsidRPr="00FF2282">
              <w:rPr>
                <w:rFonts w:ascii="Calibri" w:eastAsia="Calibri" w:hAnsi="Calibri" w:cs="Calibri"/>
              </w:rPr>
              <w:t xml:space="preserve"> qual</w:t>
            </w:r>
            <w:r w:rsidR="006C35C0">
              <w:rPr>
                <w:rFonts w:ascii="Calibri" w:eastAsia="Calibri" w:hAnsi="Calibri" w:cs="Calibri"/>
              </w:rPr>
              <w:t>e</w:t>
            </w:r>
            <w:r w:rsidR="00A21780" w:rsidRPr="00FF2282">
              <w:rPr>
                <w:rFonts w:ascii="Calibri" w:eastAsia="Calibri" w:hAnsi="Calibri" w:cs="Calibri"/>
              </w:rPr>
              <w:t xml:space="preserve"> manifestava la necessità di acquistare</w:t>
            </w:r>
            <w:r w:rsidR="00A65ADF" w:rsidRPr="0083389E">
              <w:rPr>
                <w:rFonts w:eastAsia="Calibri" w:cstheme="minorHAnsi"/>
                <w:b/>
                <w:bCs/>
              </w:rPr>
              <w:t xml:space="preserve"> </w:t>
            </w:r>
            <w:r w:rsidR="00A65ADF" w:rsidRPr="00A65ADF">
              <w:rPr>
                <w:rFonts w:eastAsia="Calibri" w:cstheme="minorHAnsi"/>
              </w:rPr>
              <w:t>n</w:t>
            </w:r>
            <w:r w:rsidR="00A65ADF" w:rsidRPr="00A65ADF">
              <w:rPr>
                <w:rFonts w:eastAsia="Times New Roman" w:cs="Times New Roman"/>
                <w:color w:val="000000"/>
                <w:lang w:eastAsia="it-IT"/>
              </w:rPr>
              <w:t>.01</w:t>
            </w:r>
            <w:r w:rsidR="00A65ADF" w:rsidRPr="0083389E">
              <w:rPr>
                <w:rFonts w:eastAsia="Times New Roman" w:cs="Times New Roman"/>
                <w:b/>
                <w:bCs/>
                <w:color w:val="000000"/>
                <w:lang w:eastAsia="it-IT"/>
              </w:rPr>
              <w:t>“</w:t>
            </w:r>
            <w:r w:rsidR="00A65ADF">
              <w:t>VIDEOPROIETTORE Acer P1260BTI XGA (1024x768) 4.000 ANSI lumen MR.JSW11.001</w:t>
            </w:r>
            <w:r w:rsidR="00A65ADF" w:rsidRPr="00D1642D">
              <w:rPr>
                <w:rFonts w:eastAsia="Times New Roman" w:cs="Times New Roman"/>
                <w:b/>
                <w:bCs/>
                <w:color w:val="333333"/>
                <w:lang w:eastAsia="it-IT"/>
              </w:rPr>
              <w:t>”</w:t>
            </w:r>
            <w:r w:rsidR="00A65ADF">
              <w:rPr>
                <w:rFonts w:eastAsia="Times New Roman" w:cs="Times New Roman"/>
                <w:b/>
                <w:bCs/>
                <w:color w:val="333333"/>
                <w:lang w:eastAsia="it-IT"/>
              </w:rPr>
              <w:t xml:space="preserve"> </w:t>
            </w:r>
            <w:r w:rsidR="00A65ADF" w:rsidRPr="00A65ADF">
              <w:rPr>
                <w:rFonts w:eastAsia="Times New Roman" w:cs="Times New Roman"/>
                <w:color w:val="333333"/>
                <w:lang w:eastAsia="it-IT"/>
              </w:rPr>
              <w:t>e n. 3</w:t>
            </w:r>
            <w:r w:rsidR="00A65ADF">
              <w:rPr>
                <w:rFonts w:eastAsia="Times New Roman" w:cs="Times New Roman"/>
                <w:b/>
                <w:bCs/>
                <w:color w:val="333333"/>
                <w:lang w:eastAsia="it-IT"/>
              </w:rPr>
              <w:t xml:space="preserve"> </w:t>
            </w:r>
            <w:r w:rsidR="00A65ADF">
              <w:t>ADATTATORI LENOVO PER NOTEBOOK, PORTE USB-HDMI-VGA, 40AU0065EU</w:t>
            </w:r>
            <w:r w:rsidR="00A65ADF" w:rsidRPr="0083389E">
              <w:rPr>
                <w:rFonts w:eastAsia="Times New Roman" w:cs="Times New Roman"/>
                <w:b/>
                <w:bCs/>
                <w:color w:val="333333"/>
                <w:lang w:eastAsia="it-IT"/>
              </w:rPr>
              <w:t xml:space="preserve"> </w:t>
            </w:r>
            <w:r w:rsidR="001F5494" w:rsidRPr="0083389E">
              <w:rPr>
                <w:rFonts w:eastAsia="Times New Roman" w:cs="Times New Roman"/>
                <w:b/>
                <w:bCs/>
                <w:color w:val="333333"/>
                <w:lang w:eastAsia="it-IT"/>
              </w:rPr>
              <w:t>”</w:t>
            </w:r>
            <w:r w:rsidR="00C977E2" w:rsidRPr="002C36C1">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1C66696B"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in oggetto</w:t>
            </w:r>
            <w:r w:rsidR="006F1AA0">
              <w:rPr>
                <w:rFonts w:ascii="Calibri" w:eastAsia="Calibri" w:hAnsi="Calibri" w:cs="Calibri"/>
                <w:bCs/>
              </w:rPr>
              <w:t xml:space="preserve"> </w:t>
            </w:r>
            <w:r w:rsidR="00D176DB">
              <w:rPr>
                <w:rFonts w:ascii="Calibri" w:eastAsia="Calibri" w:hAnsi="Calibri" w:cs="Calibri"/>
                <w:bCs/>
              </w:rPr>
              <w:t>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6C35C0">
              <w:rPr>
                <w:rFonts w:ascii="Calibri" w:eastAsia="Calibri" w:hAnsi="Calibri" w:cs="Calibri"/>
                <w:bCs/>
              </w:rPr>
              <w:t>l</w:t>
            </w:r>
            <w:r w:rsidR="002C36C1" w:rsidRPr="00FF2282">
              <w:rPr>
                <w:rFonts w:ascii="Calibri" w:eastAsia="Calibri" w:hAnsi="Calibri" w:cs="Calibri"/>
              </w:rPr>
              <w:t xml:space="preserve"> prof</w:t>
            </w:r>
            <w:r w:rsidR="006C35C0">
              <w:rPr>
                <w:rFonts w:ascii="Calibri" w:eastAsia="Calibri" w:hAnsi="Calibri" w:cs="Calibri"/>
              </w:rPr>
              <w:t xml:space="preserve">. </w:t>
            </w:r>
            <w:r w:rsidR="001F5494">
              <w:rPr>
                <w:rFonts w:ascii="Calibri" w:eastAsia="Calibri" w:hAnsi="Calibri" w:cs="Calibri"/>
              </w:rPr>
              <w:t>Francesco Pirozzi</w:t>
            </w:r>
            <w:r w:rsidR="002C36C1" w:rsidRPr="00FF2282">
              <w:rPr>
                <w:rFonts w:ascii="Calibri" w:eastAsia="Calibri" w:hAnsi="Calibri" w:cs="Calibri"/>
              </w:rPr>
              <w:t xml:space="preserve"> </w:t>
            </w:r>
            <w:r w:rsidR="00176992">
              <w:rPr>
                <w:rFonts w:ascii="Calibri" w:eastAsia="Calibri" w:hAnsi="Calibri" w:cs="Calibri"/>
                <w:bCs/>
              </w:rPr>
              <w:t>nell</w:t>
            </w:r>
            <w:r w:rsidR="006C35C0">
              <w:rPr>
                <w:rFonts w:ascii="Calibri" w:eastAsia="Calibri" w:hAnsi="Calibri" w:cs="Calibri"/>
                <w:bCs/>
              </w:rPr>
              <w:t>a</w:t>
            </w:r>
            <w:r w:rsidR="00176992">
              <w:rPr>
                <w:rFonts w:ascii="Calibri" w:eastAsia="Calibri" w:hAnsi="Calibri" w:cs="Calibri"/>
                <w:bCs/>
              </w:rPr>
              <w:t xml:space="preserve"> richiest</w:t>
            </w:r>
            <w:r w:rsidR="006C35C0">
              <w:rPr>
                <w:rFonts w:ascii="Calibri" w:eastAsia="Calibri" w:hAnsi="Calibri" w:cs="Calibri"/>
                <w:bCs/>
              </w:rPr>
              <w:t>a</w:t>
            </w:r>
            <w:r w:rsidR="00176992">
              <w:rPr>
                <w:rFonts w:ascii="Calibri" w:eastAsia="Calibri" w:hAnsi="Calibri" w:cs="Calibri"/>
                <w:bCs/>
              </w:rPr>
              <w:t xml:space="preserve"> allegat</w:t>
            </w:r>
            <w:r w:rsidR="006C35C0">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512B0884"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A65ADF" w:rsidRPr="0083389E">
              <w:rPr>
                <w:rFonts w:eastAsia="Calibri" w:cstheme="minorHAnsi"/>
                <w:b/>
                <w:bCs/>
              </w:rPr>
              <w:t xml:space="preserve"> </w:t>
            </w:r>
            <w:r w:rsidR="00A65ADF" w:rsidRPr="00A65ADF">
              <w:rPr>
                <w:rFonts w:eastAsia="Calibri" w:cstheme="minorHAnsi"/>
              </w:rPr>
              <w:t xml:space="preserve"> n</w:t>
            </w:r>
            <w:r w:rsidR="00A65ADF" w:rsidRPr="00A65ADF">
              <w:rPr>
                <w:rFonts w:eastAsia="Times New Roman" w:cs="Times New Roman"/>
                <w:color w:val="000000"/>
                <w:lang w:eastAsia="it-IT"/>
              </w:rPr>
              <w:t>.01</w:t>
            </w:r>
            <w:r w:rsidR="00A65ADF" w:rsidRPr="0083389E">
              <w:rPr>
                <w:rFonts w:eastAsia="Times New Roman" w:cs="Times New Roman"/>
                <w:b/>
                <w:bCs/>
                <w:color w:val="000000"/>
                <w:lang w:eastAsia="it-IT"/>
              </w:rPr>
              <w:t>“</w:t>
            </w:r>
            <w:r w:rsidR="00A65ADF">
              <w:t>VIDEOPROIETTORE Acer P1260BTI XGA (1024x768) 4.000 ANSI lumen MR.JSW11.001</w:t>
            </w:r>
            <w:r w:rsidR="00A65ADF" w:rsidRPr="00D1642D">
              <w:rPr>
                <w:rFonts w:eastAsia="Times New Roman" w:cs="Times New Roman"/>
                <w:b/>
                <w:bCs/>
                <w:color w:val="333333"/>
                <w:lang w:eastAsia="it-IT"/>
              </w:rPr>
              <w:t>”</w:t>
            </w:r>
            <w:r w:rsidR="00A65ADF">
              <w:rPr>
                <w:rFonts w:eastAsia="Times New Roman" w:cs="Times New Roman"/>
                <w:b/>
                <w:bCs/>
                <w:color w:val="333333"/>
                <w:lang w:eastAsia="it-IT"/>
              </w:rPr>
              <w:t xml:space="preserve"> </w:t>
            </w:r>
            <w:r w:rsidR="00A65ADF" w:rsidRPr="00A65ADF">
              <w:rPr>
                <w:rFonts w:eastAsia="Times New Roman" w:cs="Times New Roman"/>
                <w:color w:val="333333"/>
                <w:lang w:eastAsia="it-IT"/>
              </w:rPr>
              <w:t>e n. 3</w:t>
            </w:r>
            <w:r w:rsidR="00A65ADF">
              <w:rPr>
                <w:rFonts w:eastAsia="Times New Roman" w:cs="Times New Roman"/>
                <w:b/>
                <w:bCs/>
                <w:color w:val="333333"/>
                <w:lang w:eastAsia="it-IT"/>
              </w:rPr>
              <w:t xml:space="preserve"> </w:t>
            </w:r>
            <w:r w:rsidR="00A65ADF">
              <w:t>ADATTATORI LENOVO PER NOTEBOOK, PORTE USB-HDMI-VGA, 40AU0065EU</w:t>
            </w:r>
            <w:r w:rsidR="00A65ADF" w:rsidRPr="0083389E">
              <w:rPr>
                <w:rFonts w:eastAsia="Times New Roman" w:cs="Times New Roman"/>
                <w:b/>
                <w:bCs/>
                <w:color w:val="333333"/>
                <w:lang w:eastAsia="it-IT"/>
              </w:rPr>
              <w:t xml:space="preserve"> ”</w:t>
            </w:r>
            <w:r w:rsidR="00D1642D" w:rsidRPr="002C36C1">
              <w:rPr>
                <w:rFonts w:ascii="Calibri" w:eastAsia="Calibri" w:hAnsi="Calibri" w:cs="Calibri"/>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0691C8EB" w:rsidR="00C977E2" w:rsidRPr="00735F8B" w:rsidRDefault="00277498" w:rsidP="00FA479D">
            <w:pPr>
              <w:rPr>
                <w:rFonts w:eastAsia="Calibri" w:cstheme="minorHAnsi"/>
                <w:b/>
              </w:rPr>
            </w:pPr>
            <w:r>
              <w:rPr>
                <w:rFonts w:eastAsia="Calibri" w:cstheme="minorHAnsi"/>
                <w:b/>
              </w:rPr>
              <w:lastRenderedPageBreak/>
              <w:t xml:space="preserve">CONSIDERATO </w:t>
            </w:r>
          </w:p>
        </w:tc>
        <w:tc>
          <w:tcPr>
            <w:tcW w:w="7971" w:type="dxa"/>
            <w:shd w:val="clear" w:color="auto" w:fill="auto"/>
          </w:tcPr>
          <w:p w14:paraId="40D8979A" w14:textId="0E8CF18F" w:rsidR="00277498" w:rsidRPr="00DB6EBC" w:rsidRDefault="00C977E2" w:rsidP="00DB6EBC">
            <w:pPr>
              <w:ind w:left="-57"/>
              <w:jc w:val="both"/>
              <w:rPr>
                <w:rFonts w:ascii="Calibri" w:eastAsia="Calibri" w:hAnsi="Calibri" w:cs="Calibr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037B189D" w:rsidR="00C977E2" w:rsidRPr="00D1642D" w:rsidRDefault="00C977E2" w:rsidP="00D1642D">
            <w:pPr>
              <w:ind w:left="-57"/>
              <w:jc w:val="both"/>
              <w:rPr>
                <w:rFonts w:ascii="Verdana" w:hAnsi="Verdana"/>
                <w:color w:val="333333"/>
                <w:sz w:val="17"/>
                <w:szCs w:val="17"/>
                <w:shd w:val="clear" w:color="auto" w:fill="FFFFFF"/>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7C4331">
              <w:t xml:space="preserve"> </w:t>
            </w:r>
            <w:r w:rsidR="009E759F">
              <w:rPr>
                <w:rFonts w:ascii="Verdana" w:hAnsi="Verdana"/>
                <w:b/>
                <w:bCs/>
                <w:color w:val="A02213"/>
                <w:sz w:val="19"/>
                <w:szCs w:val="19"/>
                <w:shd w:val="clear" w:color="auto" w:fill="FFFFFF"/>
              </w:rPr>
              <w:t xml:space="preserve"> </w:t>
            </w:r>
            <w:r w:rsidR="00D1642D">
              <w:rPr>
                <w:rFonts w:ascii="Verdana" w:hAnsi="Verdana"/>
                <w:b/>
                <w:bCs/>
                <w:color w:val="A02213"/>
                <w:sz w:val="19"/>
                <w:szCs w:val="19"/>
                <w:shd w:val="clear" w:color="auto" w:fill="FFFFFF"/>
              </w:rPr>
              <w:t xml:space="preserve"> </w:t>
            </w:r>
            <w:r w:rsidR="00A65ADF">
              <w:rPr>
                <w:rFonts w:ascii="Verdana" w:hAnsi="Verdana"/>
                <w:b/>
                <w:bCs/>
                <w:color w:val="A02213"/>
                <w:sz w:val="19"/>
                <w:szCs w:val="19"/>
                <w:shd w:val="clear" w:color="auto" w:fill="FFFFFF"/>
              </w:rPr>
              <w:t xml:space="preserve"> </w:t>
            </w:r>
            <w:r w:rsidR="00A65ADF" w:rsidRPr="00A65ADF">
              <w:rPr>
                <w:rFonts w:ascii="Verdana" w:hAnsi="Verdana"/>
                <w:b/>
                <w:bCs/>
                <w:sz w:val="19"/>
                <w:szCs w:val="19"/>
                <w:shd w:val="clear" w:color="auto" w:fill="FFFFFF"/>
              </w:rPr>
              <w:t>CARTOIDEE DI CULTRARO VASTA GIUSEPPE</w:t>
            </w:r>
            <w:r w:rsidRPr="0064355A">
              <w:rPr>
                <w:rFonts w:cstheme="minorHAnsi"/>
                <w:b/>
                <w:bCs/>
              </w:rPr>
              <w:t>,</w:t>
            </w:r>
            <w:r w:rsidRPr="0064355A">
              <w:rPr>
                <w:rFonts w:eastAsia="Calibri" w:cstheme="minorHAnsi"/>
                <w:b/>
                <w:bCs/>
              </w:rPr>
              <w:t xml:space="preserve"> </w:t>
            </w:r>
            <w:r w:rsidRPr="00735F8B">
              <w:rPr>
                <w:rFonts w:eastAsia="Calibri" w:cstheme="minorHAnsi"/>
                <w:bCs/>
              </w:rPr>
              <w:t>con s</w:t>
            </w:r>
            <w:r w:rsidR="0064355A">
              <w:rPr>
                <w:rFonts w:eastAsia="Calibri" w:cstheme="minorHAnsi"/>
                <w:bCs/>
              </w:rPr>
              <w:t>ede in</w:t>
            </w:r>
            <w:r w:rsidR="00E77F24">
              <w:t xml:space="preserve"> </w:t>
            </w:r>
            <w:r w:rsidR="00D1642D">
              <w:rPr>
                <w:rFonts w:ascii="Verdana" w:hAnsi="Verdana"/>
                <w:color w:val="333333"/>
                <w:sz w:val="17"/>
                <w:szCs w:val="17"/>
                <w:shd w:val="clear" w:color="auto" w:fill="F1EDEE"/>
              </w:rPr>
              <w:t xml:space="preserve"> </w:t>
            </w:r>
            <w:r w:rsidR="00A65ADF">
              <w:rPr>
                <w:rFonts w:ascii="Verdana" w:hAnsi="Verdana"/>
                <w:color w:val="333333"/>
                <w:sz w:val="17"/>
                <w:szCs w:val="17"/>
                <w:shd w:val="clear" w:color="auto" w:fill="F1EDEE"/>
              </w:rPr>
              <w:t xml:space="preserve"> VIA UMBERTO I, 124A, 95043, MILITELLO IN VAL DI CATANIA (CT)</w:t>
            </w:r>
            <w:r w:rsidR="00A65ADF" w:rsidRPr="00735F8B">
              <w:rPr>
                <w:rFonts w:eastAsia="Calibri" w:cstheme="minorHAnsi"/>
                <w:bCs/>
              </w:rPr>
              <w:t xml:space="preserve"> </w:t>
            </w:r>
            <w:r w:rsidRPr="00735F8B">
              <w:rPr>
                <w:rFonts w:eastAsia="Calibri" w:cstheme="minorHAnsi"/>
                <w:bCs/>
              </w:rPr>
              <w:t>, (partita Iva</w:t>
            </w:r>
            <w:r w:rsidR="00396082">
              <w:t xml:space="preserve"> </w:t>
            </w:r>
            <w:r w:rsidR="00E77F24">
              <w:rPr>
                <w:rFonts w:ascii="Helvetica" w:hAnsi="Helvetica" w:cs="Helvetica"/>
                <w:color w:val="313840"/>
                <w:sz w:val="27"/>
                <w:szCs w:val="27"/>
                <w:shd w:val="clear" w:color="auto" w:fill="F5F5F5"/>
              </w:rPr>
              <w:t xml:space="preserve"> </w:t>
            </w:r>
            <w:r w:rsidR="006F1AA0">
              <w:rPr>
                <w:rFonts w:ascii="Verdana" w:hAnsi="Verdana"/>
                <w:color w:val="333333"/>
                <w:sz w:val="17"/>
                <w:szCs w:val="17"/>
                <w:shd w:val="clear" w:color="auto" w:fill="FFFFFF"/>
              </w:rPr>
              <w:t xml:space="preserve"> </w:t>
            </w:r>
            <w:r w:rsidR="00A65ADF">
              <w:rPr>
                <w:rFonts w:ascii="Verdana" w:hAnsi="Verdana"/>
                <w:color w:val="333333"/>
                <w:sz w:val="17"/>
                <w:szCs w:val="17"/>
                <w:shd w:val="clear" w:color="auto" w:fill="FFFFFF"/>
              </w:rPr>
              <w:t xml:space="preserve"> 04406950875</w:t>
            </w:r>
            <w:r w:rsidR="00A65ADF"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665C7078" w14:textId="5AFC6759"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742A88">
              <w:rPr>
                <w:rFonts w:cstheme="minorHAnsi"/>
                <w:color w:val="000000"/>
              </w:rPr>
              <w:t>832,24</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w:t>
            </w:r>
            <w:r w:rsidRPr="00735F8B">
              <w:rPr>
                <w:rFonts w:eastAsia="Calibri" w:cstheme="minorHAnsi"/>
                <w:i/>
              </w:rPr>
              <w:lastRenderedPageBreak/>
              <w:t>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75F37F7A"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w:t>
      </w:r>
      <w:r w:rsidR="00A65ADF" w:rsidRPr="00A65ADF">
        <w:rPr>
          <w:rFonts w:eastAsia="Calibri" w:cstheme="minorHAnsi"/>
        </w:rPr>
        <w:t>n</w:t>
      </w:r>
      <w:r w:rsidR="00A65ADF" w:rsidRPr="00A65ADF">
        <w:rPr>
          <w:rFonts w:eastAsia="Times New Roman" w:cs="Times New Roman"/>
          <w:color w:val="000000"/>
          <w:lang w:eastAsia="it-IT"/>
        </w:rPr>
        <w:t>.01</w:t>
      </w:r>
      <w:r w:rsidR="00A65ADF" w:rsidRPr="0083389E">
        <w:rPr>
          <w:rFonts w:eastAsia="Times New Roman" w:cs="Times New Roman"/>
          <w:b/>
          <w:bCs/>
          <w:color w:val="000000"/>
          <w:lang w:eastAsia="it-IT"/>
        </w:rPr>
        <w:t>“</w:t>
      </w:r>
      <w:r w:rsidR="00A65ADF">
        <w:t>VIDEOPROIETTORE Acer P1260BTI XGA (1024x768) 4.000 ANSI lumen MR.JSW11.001</w:t>
      </w:r>
      <w:r w:rsidR="00A65ADF" w:rsidRPr="00D1642D">
        <w:rPr>
          <w:rFonts w:eastAsia="Times New Roman" w:cs="Times New Roman"/>
          <w:b/>
          <w:bCs/>
          <w:color w:val="333333"/>
          <w:lang w:eastAsia="it-IT"/>
        </w:rPr>
        <w:t>”</w:t>
      </w:r>
      <w:r w:rsidR="00A65ADF">
        <w:rPr>
          <w:rFonts w:eastAsia="Times New Roman" w:cs="Times New Roman"/>
          <w:b/>
          <w:bCs/>
          <w:color w:val="333333"/>
          <w:lang w:eastAsia="it-IT"/>
        </w:rPr>
        <w:t xml:space="preserve"> </w:t>
      </w:r>
      <w:r w:rsidR="00A65ADF" w:rsidRPr="00A65ADF">
        <w:rPr>
          <w:rFonts w:eastAsia="Times New Roman" w:cs="Times New Roman"/>
          <w:color w:val="333333"/>
          <w:lang w:eastAsia="it-IT"/>
        </w:rPr>
        <w:t>e n. 3</w:t>
      </w:r>
      <w:r w:rsidR="00A65ADF">
        <w:rPr>
          <w:rFonts w:eastAsia="Times New Roman" w:cs="Times New Roman"/>
          <w:b/>
          <w:bCs/>
          <w:color w:val="333333"/>
          <w:lang w:eastAsia="it-IT"/>
        </w:rPr>
        <w:t xml:space="preserve"> </w:t>
      </w:r>
      <w:r w:rsidR="00A65ADF">
        <w:t>ADATTATORI LENOVO PER NOTEBOOK, PORTE USB-HDMI-VGA, 40AU0065EU</w:t>
      </w:r>
      <w:r w:rsidR="00A65ADF" w:rsidRPr="0083389E">
        <w:rPr>
          <w:rFonts w:eastAsia="Times New Roman" w:cs="Times New Roman"/>
          <w:b/>
          <w:bCs/>
          <w:color w:val="333333"/>
          <w:lang w:eastAsia="it-IT"/>
        </w:rPr>
        <w:t>”</w:t>
      </w:r>
      <w:r w:rsidR="0064355A" w:rsidRPr="002C36C1">
        <w:rPr>
          <w:rFonts w:ascii="Calibri" w:eastAsia="Calibri" w:hAnsi="Calibri" w:cs="Calibri"/>
        </w:rPr>
        <w:t>;</w:t>
      </w:r>
      <w:r w:rsidR="007C4331" w:rsidRPr="009567E0">
        <w:rPr>
          <w:rFonts w:ascii="Calibri" w:eastAsia="Calibri" w:hAnsi="Calibri" w:cs="Calibri"/>
          <w:color w:val="000000" w:themeColor="text1"/>
        </w:rPr>
        <w:t xml:space="preserve"> </w:t>
      </w:r>
      <w:r w:rsidR="00AA1E07">
        <w:rPr>
          <w:rFonts w:eastAsia="Calibri" w:cstheme="minorHAnsi"/>
        </w:rPr>
        <w:t>come da richiest</w:t>
      </w:r>
      <w:r w:rsidR="009D03E5">
        <w:rPr>
          <w:rFonts w:eastAsia="Calibri" w:cstheme="minorHAnsi"/>
        </w:rPr>
        <w:t>a</w:t>
      </w:r>
      <w:r w:rsidR="00AA1E07">
        <w:rPr>
          <w:rFonts w:eastAsia="Calibri" w:cstheme="minorHAnsi"/>
        </w:rPr>
        <w:t xml:space="preserve"> allegat</w:t>
      </w:r>
      <w:r w:rsidR="009D03E5">
        <w:rPr>
          <w:rFonts w:eastAsia="Calibri" w:cstheme="minorHAnsi"/>
        </w:rPr>
        <w:t>a</w:t>
      </w:r>
      <w:r w:rsidR="00AA1E07">
        <w:rPr>
          <w:rFonts w:eastAsia="Calibri" w:cstheme="minorHAnsi"/>
        </w:rPr>
        <w:t xml:space="preserve"> de</w:t>
      </w:r>
      <w:r w:rsidR="009D03E5">
        <w:rPr>
          <w:rFonts w:eastAsia="Calibri" w:cstheme="minorHAnsi"/>
        </w:rPr>
        <w:t>l</w:t>
      </w:r>
      <w:r w:rsidR="00AA1E07">
        <w:rPr>
          <w:rFonts w:eastAsia="Calibri" w:cstheme="minorHAnsi"/>
        </w:rPr>
        <w:t xml:space="preserve"> Prof</w:t>
      </w:r>
      <w:r w:rsidR="009D03E5">
        <w:rPr>
          <w:rFonts w:eastAsia="Calibri" w:cstheme="minorHAnsi"/>
        </w:rPr>
        <w:t>.</w:t>
      </w:r>
      <w:r w:rsidR="00D1642D">
        <w:rPr>
          <w:rFonts w:eastAsia="Calibri" w:cstheme="minorHAnsi"/>
        </w:rPr>
        <w:t xml:space="preserve"> Francesco Pirozzi</w:t>
      </w:r>
      <w:r w:rsidR="00190970">
        <w:rPr>
          <w:rFonts w:ascii="Calibri" w:eastAsia="Calibri" w:hAnsi="Calibri" w:cs="Calibri"/>
        </w:rPr>
        <w:t xml:space="preserve"> </w:t>
      </w:r>
      <w:r w:rsidRPr="009B003C">
        <w:rPr>
          <w:rFonts w:cstheme="minorHAnsi"/>
          <w:bCs/>
        </w:rPr>
        <w:t>all’operatore economico</w:t>
      </w:r>
      <w:r w:rsidR="000E6C40">
        <w:rPr>
          <w:rFonts w:cstheme="minorHAnsi"/>
          <w:bCs/>
        </w:rPr>
        <w:t xml:space="preserve"> </w:t>
      </w:r>
      <w:r w:rsidR="00A65ADF" w:rsidRPr="00A65ADF">
        <w:rPr>
          <w:rFonts w:ascii="Verdana" w:hAnsi="Verdana"/>
          <w:b/>
          <w:bCs/>
          <w:sz w:val="19"/>
          <w:szCs w:val="19"/>
          <w:shd w:val="clear" w:color="auto" w:fill="FFFFFF"/>
        </w:rPr>
        <w:t>CARTOIDEE DI CULTRARO VASTA GIUSEPPE</w:t>
      </w:r>
      <w:r w:rsidRPr="009B003C">
        <w:rPr>
          <w:rFonts w:cstheme="minorHAnsi"/>
          <w:bCs/>
        </w:rPr>
        <w:t xml:space="preserve">, per un importo complessivo delle prestazioni pari ad € </w:t>
      </w:r>
      <w:r w:rsidR="00A65ADF">
        <w:rPr>
          <w:rFonts w:cstheme="minorHAnsi"/>
          <w:bCs/>
        </w:rPr>
        <w:t>832,24</w:t>
      </w:r>
      <w:r w:rsidR="009F0503">
        <w:rPr>
          <w:rFonts w:eastAsia="Calibri" w:cstheme="minorHAnsi"/>
          <w:bCs/>
        </w:rPr>
        <w:t xml:space="preserve"> (</w:t>
      </w:r>
      <w:r w:rsidR="00A65ADF">
        <w:rPr>
          <w:rFonts w:eastAsia="Calibri" w:cstheme="minorHAnsi"/>
          <w:bCs/>
        </w:rPr>
        <w:t>ottocentotrentadue</w:t>
      </w:r>
      <w:r w:rsidR="009F0503">
        <w:rPr>
          <w:rFonts w:eastAsia="Calibri" w:cstheme="minorHAnsi"/>
          <w:bCs/>
        </w:rPr>
        <w:t>/</w:t>
      </w:r>
      <w:r w:rsidR="00A65ADF">
        <w:rPr>
          <w:rFonts w:eastAsia="Calibri" w:cstheme="minorHAnsi"/>
          <w:bCs/>
        </w:rPr>
        <w:t>24</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16B0FFAA"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E2699A" w:rsidRPr="00E2699A">
        <w:rPr>
          <w:rFonts w:cstheme="minorHAnsi"/>
          <w:bCs/>
        </w:rPr>
        <w:t>000009-</w:t>
      </w:r>
      <w:r w:rsidR="00D1642D">
        <w:rPr>
          <w:rFonts w:cstheme="minorHAnsi"/>
          <w:bCs/>
        </w:rPr>
        <w:t xml:space="preserve"> Fondo Bioraffinazione</w:t>
      </w:r>
      <w:r w:rsidR="00E2699A">
        <w:rPr>
          <w:rFonts w:cstheme="minorHAnsi"/>
          <w:bCs/>
        </w:rPr>
        <w:t xml:space="preserve"> </w:t>
      </w:r>
      <w:r w:rsidR="00ED18CC">
        <w:rPr>
          <w:rFonts w:cstheme="minorHAnsi"/>
          <w:bCs/>
        </w:rPr>
        <w:t>Responsabi</w:t>
      </w:r>
      <w:r w:rsidR="009567E0">
        <w:rPr>
          <w:rFonts w:cstheme="minorHAnsi"/>
          <w:bCs/>
        </w:rPr>
        <w:t>l</w:t>
      </w:r>
      <w:r w:rsidR="002C4EC8">
        <w:rPr>
          <w:rFonts w:cstheme="minorHAnsi"/>
          <w:bCs/>
        </w:rPr>
        <w:t>e Prof</w:t>
      </w:r>
      <w:r w:rsidR="00D1642D">
        <w:rPr>
          <w:rFonts w:cstheme="minorHAnsi"/>
          <w:bCs/>
        </w:rPr>
        <w:t>. Francesco Pirozzi</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007039CD" w:rsidRPr="009B003C">
        <w:rPr>
          <w:rFonts w:cstheme="minorHAnsi"/>
          <w:bCs/>
        </w:rPr>
        <w:t>da imputare su</w:t>
      </w:r>
      <w:r w:rsidR="002A1BF2">
        <w:rPr>
          <w:rFonts w:cstheme="minorHAnsi"/>
          <w:bCs/>
        </w:rPr>
        <w:t>i</w:t>
      </w:r>
      <w:r w:rsidR="007039CD" w:rsidRPr="009B003C">
        <w:rPr>
          <w:rFonts w:cstheme="minorHAnsi"/>
          <w:bCs/>
        </w:rPr>
        <w:t xml:space="preserve"> capitol</w:t>
      </w:r>
      <w:r w:rsidR="002A1BF2">
        <w:rPr>
          <w:rFonts w:cstheme="minorHAnsi"/>
          <w:bCs/>
        </w:rPr>
        <w:t>i</w:t>
      </w:r>
      <w:r w:rsidR="007039CD">
        <w:rPr>
          <w:rFonts w:cstheme="minorHAnsi"/>
          <w:bCs/>
        </w:rPr>
        <w:t xml:space="preserve"> </w:t>
      </w:r>
      <w:r w:rsidR="006F1AA0">
        <w:rPr>
          <w:rFonts w:cstheme="minorHAnsi"/>
          <w:bCs/>
        </w:rPr>
        <w:t>Hardware</w:t>
      </w:r>
      <w:r w:rsidR="007039CD">
        <w:rPr>
          <w:rFonts w:cstheme="minorHAnsi"/>
          <w:bCs/>
        </w:rPr>
        <w:t xml:space="preserve"> Voce di bilancio COAN </w:t>
      </w:r>
      <w:r w:rsidR="007039CD" w:rsidRPr="007F6899">
        <w:rPr>
          <w:rFonts w:cstheme="minorHAnsi"/>
          <w:bCs/>
        </w:rPr>
        <w:t>CG.</w:t>
      </w:r>
      <w:r w:rsidR="007039CD" w:rsidRPr="00397A92">
        <w:t xml:space="preserve"> </w:t>
      </w:r>
      <w:r w:rsidR="007039CD" w:rsidRPr="00397A92">
        <w:rPr>
          <w:rFonts w:cstheme="minorHAnsi"/>
          <w:bCs/>
        </w:rPr>
        <w:t>0</w:t>
      </w:r>
      <w:r w:rsidR="006F1AA0">
        <w:rPr>
          <w:rFonts w:cstheme="minorHAnsi"/>
          <w:bCs/>
        </w:rPr>
        <w:t>1</w:t>
      </w:r>
      <w:r w:rsidR="007039CD" w:rsidRPr="00397A92">
        <w:rPr>
          <w:rFonts w:cstheme="minorHAnsi"/>
          <w:bCs/>
        </w:rPr>
        <w:t>.</w:t>
      </w:r>
      <w:r w:rsidR="006F1AA0">
        <w:rPr>
          <w:rFonts w:cstheme="minorHAnsi"/>
          <w:bCs/>
        </w:rPr>
        <w:t>10</w:t>
      </w:r>
      <w:r w:rsidR="007039CD" w:rsidRPr="00397A92">
        <w:rPr>
          <w:rFonts w:cstheme="minorHAnsi"/>
          <w:bCs/>
        </w:rPr>
        <w:t>.02.0</w:t>
      </w:r>
      <w:r w:rsidR="006F1AA0">
        <w:rPr>
          <w:rFonts w:cstheme="minorHAnsi"/>
          <w:bCs/>
        </w:rPr>
        <w:t>7</w:t>
      </w:r>
      <w:r w:rsidR="007039CD" w:rsidRPr="00397A92">
        <w:rPr>
          <w:rFonts w:cstheme="minorHAnsi"/>
          <w:bCs/>
        </w:rPr>
        <w:t>.0</w:t>
      </w:r>
      <w:r w:rsidR="006F1AA0">
        <w:rPr>
          <w:rFonts w:cstheme="minorHAnsi"/>
          <w:bCs/>
        </w:rPr>
        <w:t>1</w:t>
      </w:r>
      <w:r w:rsidR="002A1BF2">
        <w:rPr>
          <w:rFonts w:cstheme="minorHAnsi"/>
          <w:bCs/>
        </w:rPr>
        <w:t xml:space="preserve">  e Acquisto beni strumentali Voce di bilancio COAN </w:t>
      </w:r>
      <w:r w:rsidR="002A1BF2" w:rsidRPr="007F6899">
        <w:rPr>
          <w:rFonts w:cstheme="minorHAnsi"/>
          <w:bCs/>
        </w:rPr>
        <w:t>CG.</w:t>
      </w:r>
      <w:r w:rsidR="002A1BF2" w:rsidRPr="00397A92">
        <w:t xml:space="preserve"> </w:t>
      </w:r>
      <w:r w:rsidR="002A1BF2" w:rsidRPr="00397A92">
        <w:rPr>
          <w:rFonts w:cstheme="minorHAnsi"/>
          <w:bCs/>
        </w:rPr>
        <w:t>0</w:t>
      </w:r>
      <w:r w:rsidR="002A1BF2">
        <w:rPr>
          <w:rFonts w:cstheme="minorHAnsi"/>
          <w:bCs/>
        </w:rPr>
        <w:t>4</w:t>
      </w:r>
      <w:r w:rsidR="002A1BF2" w:rsidRPr="00397A92">
        <w:rPr>
          <w:rFonts w:cstheme="minorHAnsi"/>
          <w:bCs/>
        </w:rPr>
        <w:t>.</w:t>
      </w:r>
      <w:r w:rsidR="002A1BF2">
        <w:rPr>
          <w:rFonts w:cstheme="minorHAnsi"/>
          <w:bCs/>
        </w:rPr>
        <w:t>41</w:t>
      </w:r>
      <w:r w:rsidR="002A1BF2" w:rsidRPr="00397A92">
        <w:rPr>
          <w:rFonts w:cstheme="minorHAnsi"/>
          <w:bCs/>
        </w:rPr>
        <w:t>.02.0</w:t>
      </w:r>
      <w:r w:rsidR="002A1BF2">
        <w:rPr>
          <w:rFonts w:cstheme="minorHAnsi"/>
          <w:bCs/>
        </w:rPr>
        <w:t>2</w:t>
      </w:r>
      <w:r w:rsidR="002A1BF2" w:rsidRPr="00397A92">
        <w:rPr>
          <w:rFonts w:cstheme="minorHAnsi"/>
          <w:bCs/>
        </w:rPr>
        <w:t>.0</w:t>
      </w:r>
      <w:r w:rsidR="002A1BF2">
        <w:rPr>
          <w:rFonts w:cstheme="minorHAnsi"/>
          <w:bCs/>
        </w:rPr>
        <w:t>1</w:t>
      </w:r>
      <w:r w:rsidR="007039CD">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32965" w14:textId="77777777" w:rsidR="00D17A2A" w:rsidRDefault="00D17A2A" w:rsidP="00E81D5C">
      <w:pPr>
        <w:spacing w:before="0" w:after="0"/>
      </w:pPr>
      <w:r>
        <w:separator/>
      </w:r>
    </w:p>
  </w:endnote>
  <w:endnote w:type="continuationSeparator" w:id="0">
    <w:p w14:paraId="4319F049" w14:textId="77777777" w:rsidR="00D17A2A" w:rsidRDefault="00D17A2A"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09A3" w14:textId="77777777" w:rsidR="00D17A2A" w:rsidRDefault="00D17A2A" w:rsidP="00E81D5C">
      <w:pPr>
        <w:spacing w:before="0" w:after="0"/>
      </w:pPr>
      <w:r>
        <w:separator/>
      </w:r>
    </w:p>
  </w:footnote>
  <w:footnote w:type="continuationSeparator" w:id="0">
    <w:p w14:paraId="2D08BA88" w14:textId="77777777" w:rsidR="00D17A2A" w:rsidRDefault="00D17A2A"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482D"/>
    <w:rsid w:val="00015EB9"/>
    <w:rsid w:val="0002489D"/>
    <w:rsid w:val="00040969"/>
    <w:rsid w:val="00046D46"/>
    <w:rsid w:val="00051FBE"/>
    <w:rsid w:val="000563DF"/>
    <w:rsid w:val="00067C86"/>
    <w:rsid w:val="00080D94"/>
    <w:rsid w:val="000B585C"/>
    <w:rsid w:val="000E6C40"/>
    <w:rsid w:val="00112963"/>
    <w:rsid w:val="001144AE"/>
    <w:rsid w:val="00114EE4"/>
    <w:rsid w:val="00176992"/>
    <w:rsid w:val="00176C28"/>
    <w:rsid w:val="00190970"/>
    <w:rsid w:val="00190B27"/>
    <w:rsid w:val="001B366C"/>
    <w:rsid w:val="001D52C6"/>
    <w:rsid w:val="001F5494"/>
    <w:rsid w:val="002324A1"/>
    <w:rsid w:val="00240181"/>
    <w:rsid w:val="002741A7"/>
    <w:rsid w:val="00277498"/>
    <w:rsid w:val="00277554"/>
    <w:rsid w:val="00281EDC"/>
    <w:rsid w:val="002A1BF2"/>
    <w:rsid w:val="002B15AF"/>
    <w:rsid w:val="002B7006"/>
    <w:rsid w:val="002C36C1"/>
    <w:rsid w:val="002C4EC8"/>
    <w:rsid w:val="00302484"/>
    <w:rsid w:val="00352B71"/>
    <w:rsid w:val="00396082"/>
    <w:rsid w:val="00397A92"/>
    <w:rsid w:val="003B115D"/>
    <w:rsid w:val="003C6C6B"/>
    <w:rsid w:val="00404949"/>
    <w:rsid w:val="00407D32"/>
    <w:rsid w:val="00414F6E"/>
    <w:rsid w:val="00426E91"/>
    <w:rsid w:val="00475CE3"/>
    <w:rsid w:val="004A610A"/>
    <w:rsid w:val="004E796E"/>
    <w:rsid w:val="005147EC"/>
    <w:rsid w:val="00514D35"/>
    <w:rsid w:val="00520E72"/>
    <w:rsid w:val="00584770"/>
    <w:rsid w:val="005C35BF"/>
    <w:rsid w:val="005E0F11"/>
    <w:rsid w:val="005F0FB7"/>
    <w:rsid w:val="0063673E"/>
    <w:rsid w:val="0064355A"/>
    <w:rsid w:val="00655A36"/>
    <w:rsid w:val="00696D47"/>
    <w:rsid w:val="006A13DB"/>
    <w:rsid w:val="006C35C0"/>
    <w:rsid w:val="006D5E2F"/>
    <w:rsid w:val="006E41E8"/>
    <w:rsid w:val="006F1AA0"/>
    <w:rsid w:val="007039CD"/>
    <w:rsid w:val="007073C9"/>
    <w:rsid w:val="0071057F"/>
    <w:rsid w:val="00716D47"/>
    <w:rsid w:val="007228B1"/>
    <w:rsid w:val="00727221"/>
    <w:rsid w:val="00742A88"/>
    <w:rsid w:val="0075271B"/>
    <w:rsid w:val="00757471"/>
    <w:rsid w:val="007C4331"/>
    <w:rsid w:val="007E06D4"/>
    <w:rsid w:val="007E5FFE"/>
    <w:rsid w:val="007F6899"/>
    <w:rsid w:val="008316C1"/>
    <w:rsid w:val="0083186D"/>
    <w:rsid w:val="0083389E"/>
    <w:rsid w:val="008356B1"/>
    <w:rsid w:val="00874F0B"/>
    <w:rsid w:val="00883D65"/>
    <w:rsid w:val="00883DC8"/>
    <w:rsid w:val="008A02E8"/>
    <w:rsid w:val="008B4845"/>
    <w:rsid w:val="00935655"/>
    <w:rsid w:val="009356AE"/>
    <w:rsid w:val="00945634"/>
    <w:rsid w:val="009567E0"/>
    <w:rsid w:val="00963BF8"/>
    <w:rsid w:val="00964EA2"/>
    <w:rsid w:val="0096767C"/>
    <w:rsid w:val="00970776"/>
    <w:rsid w:val="009A21F2"/>
    <w:rsid w:val="009A478D"/>
    <w:rsid w:val="009A75F4"/>
    <w:rsid w:val="009B003C"/>
    <w:rsid w:val="009D03E5"/>
    <w:rsid w:val="009D5A05"/>
    <w:rsid w:val="009E55E5"/>
    <w:rsid w:val="009E759F"/>
    <w:rsid w:val="009F0503"/>
    <w:rsid w:val="009F70E1"/>
    <w:rsid w:val="00A21780"/>
    <w:rsid w:val="00A3789D"/>
    <w:rsid w:val="00A559F0"/>
    <w:rsid w:val="00A60676"/>
    <w:rsid w:val="00A65ADF"/>
    <w:rsid w:val="00A66DA4"/>
    <w:rsid w:val="00A6737A"/>
    <w:rsid w:val="00A67476"/>
    <w:rsid w:val="00A968E2"/>
    <w:rsid w:val="00AA1E07"/>
    <w:rsid w:val="00AA31CA"/>
    <w:rsid w:val="00B14BF6"/>
    <w:rsid w:val="00B14EA9"/>
    <w:rsid w:val="00B30F4E"/>
    <w:rsid w:val="00B608F6"/>
    <w:rsid w:val="00B64A91"/>
    <w:rsid w:val="00B70C79"/>
    <w:rsid w:val="00B87E0E"/>
    <w:rsid w:val="00BB325D"/>
    <w:rsid w:val="00C21994"/>
    <w:rsid w:val="00C44CBC"/>
    <w:rsid w:val="00C51343"/>
    <w:rsid w:val="00C52191"/>
    <w:rsid w:val="00C543BF"/>
    <w:rsid w:val="00C82AF0"/>
    <w:rsid w:val="00C84FE2"/>
    <w:rsid w:val="00C977E2"/>
    <w:rsid w:val="00CA5835"/>
    <w:rsid w:val="00CC2051"/>
    <w:rsid w:val="00CE3CAA"/>
    <w:rsid w:val="00CE7993"/>
    <w:rsid w:val="00D0425C"/>
    <w:rsid w:val="00D1642D"/>
    <w:rsid w:val="00D176DB"/>
    <w:rsid w:val="00D17A2A"/>
    <w:rsid w:val="00D2379B"/>
    <w:rsid w:val="00D33874"/>
    <w:rsid w:val="00D4533A"/>
    <w:rsid w:val="00D537A5"/>
    <w:rsid w:val="00D91C26"/>
    <w:rsid w:val="00DB6EBC"/>
    <w:rsid w:val="00E06738"/>
    <w:rsid w:val="00E2699A"/>
    <w:rsid w:val="00E5179E"/>
    <w:rsid w:val="00E62C6E"/>
    <w:rsid w:val="00E63574"/>
    <w:rsid w:val="00E77F24"/>
    <w:rsid w:val="00E81D5C"/>
    <w:rsid w:val="00ED18CC"/>
    <w:rsid w:val="00F06174"/>
    <w:rsid w:val="00F10E40"/>
    <w:rsid w:val="00F16169"/>
    <w:rsid w:val="00F47C75"/>
    <w:rsid w:val="00F55685"/>
    <w:rsid w:val="00F64E49"/>
    <w:rsid w:val="00F7566F"/>
    <w:rsid w:val="00F85822"/>
    <w:rsid w:val="00F94F84"/>
    <w:rsid w:val="00FA479D"/>
    <w:rsid w:val="00FD7AB8"/>
    <w:rsid w:val="00FE3CD2"/>
    <w:rsid w:val="00FF2282"/>
    <w:rsid w:val="00FF2941"/>
    <w:rsid w:val="00FF3E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7C43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 w:type="character" w:customStyle="1" w:styleId="Titolo2Carattere">
    <w:name w:val="Titolo 2 Carattere"/>
    <w:basedOn w:val="Carpredefinitoparagrafo"/>
    <w:link w:val="Titolo2"/>
    <w:uiPriority w:val="9"/>
    <w:rsid w:val="007C4331"/>
    <w:rPr>
      <w:rFonts w:asciiTheme="majorHAnsi" w:eastAsiaTheme="majorEastAsia" w:hAnsiTheme="majorHAnsi" w:cstheme="majorBidi"/>
      <w:color w:val="2F5496" w:themeColor="accent1" w:themeShade="BF"/>
      <w:sz w:val="26"/>
      <w:szCs w:val="26"/>
    </w:rPr>
  </w:style>
  <w:style w:type="character" w:customStyle="1" w:styleId="semibold-22">
    <w:name w:val="semibold-22"/>
    <w:basedOn w:val="Carpredefinitoparagrafo"/>
    <w:rsid w:val="006F1AA0"/>
  </w:style>
  <w:style w:type="character" w:customStyle="1" w:styleId="textviolet">
    <w:name w:val="textviolet"/>
    <w:basedOn w:val="Carpredefinitoparagrafo"/>
    <w:rsid w:val="006F1AA0"/>
  </w:style>
  <w:style w:type="character" w:customStyle="1" w:styleId="textgrey">
    <w:name w:val="textgrey"/>
    <w:basedOn w:val="Carpredefinitoparagrafo"/>
    <w:rsid w:val="006F1AA0"/>
  </w:style>
  <w:style w:type="character" w:customStyle="1" w:styleId="scheda-prodotto-fornitore">
    <w:name w:val="scheda-prodotto-fornitore"/>
    <w:basedOn w:val="Carpredefinitoparagrafo"/>
    <w:rsid w:val="006F1AA0"/>
  </w:style>
  <w:style w:type="character" w:customStyle="1" w:styleId="scheda-prodotto">
    <w:name w:val="scheda-prodotto"/>
    <w:basedOn w:val="Carpredefinitoparagrafo"/>
    <w:rsid w:val="006F1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40940">
      <w:bodyDiv w:val="1"/>
      <w:marLeft w:val="0"/>
      <w:marRight w:val="0"/>
      <w:marTop w:val="0"/>
      <w:marBottom w:val="0"/>
      <w:divBdr>
        <w:top w:val="none" w:sz="0" w:space="0" w:color="auto"/>
        <w:left w:val="none" w:sz="0" w:space="0" w:color="auto"/>
        <w:bottom w:val="none" w:sz="0" w:space="0" w:color="auto"/>
        <w:right w:val="none" w:sz="0" w:space="0" w:color="auto"/>
      </w:divBdr>
    </w:div>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128212128">
      <w:bodyDiv w:val="1"/>
      <w:marLeft w:val="0"/>
      <w:marRight w:val="0"/>
      <w:marTop w:val="0"/>
      <w:marBottom w:val="0"/>
      <w:divBdr>
        <w:top w:val="none" w:sz="0" w:space="0" w:color="auto"/>
        <w:left w:val="none" w:sz="0" w:space="0" w:color="auto"/>
        <w:bottom w:val="none" w:sz="0" w:space="0" w:color="auto"/>
        <w:right w:val="none" w:sz="0" w:space="0" w:color="auto"/>
      </w:divBdr>
    </w:div>
    <w:div w:id="234974800">
      <w:bodyDiv w:val="1"/>
      <w:marLeft w:val="0"/>
      <w:marRight w:val="0"/>
      <w:marTop w:val="0"/>
      <w:marBottom w:val="0"/>
      <w:divBdr>
        <w:top w:val="none" w:sz="0" w:space="0" w:color="auto"/>
        <w:left w:val="none" w:sz="0" w:space="0" w:color="auto"/>
        <w:bottom w:val="none" w:sz="0" w:space="0" w:color="auto"/>
        <w:right w:val="none" w:sz="0" w:space="0" w:color="auto"/>
      </w:divBdr>
      <w:divsChild>
        <w:div w:id="457533380">
          <w:marLeft w:val="0"/>
          <w:marRight w:val="0"/>
          <w:marTop w:val="240"/>
          <w:marBottom w:val="0"/>
          <w:divBdr>
            <w:top w:val="none" w:sz="0" w:space="0" w:color="auto"/>
            <w:left w:val="none" w:sz="0" w:space="0" w:color="auto"/>
            <w:bottom w:val="none" w:sz="0" w:space="0" w:color="auto"/>
            <w:right w:val="none" w:sz="0" w:space="0" w:color="auto"/>
          </w:divBdr>
          <w:divsChild>
            <w:div w:id="352926847">
              <w:marLeft w:val="0"/>
              <w:marRight w:val="0"/>
              <w:marTop w:val="0"/>
              <w:marBottom w:val="0"/>
              <w:divBdr>
                <w:top w:val="none" w:sz="0" w:space="0" w:color="auto"/>
                <w:left w:val="none" w:sz="0" w:space="0" w:color="auto"/>
                <w:bottom w:val="none" w:sz="0" w:space="0" w:color="auto"/>
                <w:right w:val="none" w:sz="0" w:space="0" w:color="auto"/>
              </w:divBdr>
              <w:divsChild>
                <w:div w:id="818378467">
                  <w:marLeft w:val="0"/>
                  <w:marRight w:val="0"/>
                  <w:marTop w:val="0"/>
                  <w:marBottom w:val="0"/>
                  <w:divBdr>
                    <w:top w:val="none" w:sz="0" w:space="0" w:color="auto"/>
                    <w:left w:val="none" w:sz="0" w:space="0" w:color="auto"/>
                    <w:bottom w:val="none" w:sz="0" w:space="0" w:color="auto"/>
                    <w:right w:val="none" w:sz="0" w:space="0" w:color="auto"/>
                  </w:divBdr>
                </w:div>
              </w:divsChild>
            </w:div>
            <w:div w:id="1870215663">
              <w:marLeft w:val="0"/>
              <w:marRight w:val="0"/>
              <w:marTop w:val="0"/>
              <w:marBottom w:val="0"/>
              <w:divBdr>
                <w:top w:val="none" w:sz="0" w:space="0" w:color="auto"/>
                <w:left w:val="none" w:sz="0" w:space="0" w:color="auto"/>
                <w:bottom w:val="none" w:sz="0" w:space="0" w:color="auto"/>
                <w:right w:val="none" w:sz="0" w:space="0" w:color="auto"/>
              </w:divBdr>
            </w:div>
          </w:divsChild>
        </w:div>
        <w:div w:id="1973706672">
          <w:marLeft w:val="0"/>
          <w:marRight w:val="0"/>
          <w:marTop w:val="0"/>
          <w:marBottom w:val="0"/>
          <w:divBdr>
            <w:top w:val="none" w:sz="0" w:space="0" w:color="auto"/>
            <w:left w:val="none" w:sz="0" w:space="0" w:color="auto"/>
            <w:bottom w:val="none" w:sz="0" w:space="0" w:color="auto"/>
            <w:right w:val="none" w:sz="0" w:space="0" w:color="auto"/>
          </w:divBdr>
        </w:div>
        <w:div w:id="223873255">
          <w:marLeft w:val="0"/>
          <w:marRight w:val="0"/>
          <w:marTop w:val="0"/>
          <w:marBottom w:val="0"/>
          <w:divBdr>
            <w:top w:val="none" w:sz="0" w:space="0" w:color="auto"/>
            <w:left w:val="none" w:sz="0" w:space="0" w:color="auto"/>
            <w:bottom w:val="none" w:sz="0" w:space="0" w:color="auto"/>
            <w:right w:val="none" w:sz="0" w:space="0" w:color="auto"/>
          </w:divBdr>
        </w:div>
      </w:divsChild>
    </w:div>
    <w:div w:id="441266871">
      <w:bodyDiv w:val="1"/>
      <w:marLeft w:val="0"/>
      <w:marRight w:val="0"/>
      <w:marTop w:val="0"/>
      <w:marBottom w:val="0"/>
      <w:divBdr>
        <w:top w:val="none" w:sz="0" w:space="0" w:color="auto"/>
        <w:left w:val="none" w:sz="0" w:space="0" w:color="auto"/>
        <w:bottom w:val="none" w:sz="0" w:space="0" w:color="auto"/>
        <w:right w:val="none" w:sz="0" w:space="0" w:color="auto"/>
      </w:divBdr>
      <w:divsChild>
        <w:div w:id="1832020802">
          <w:marLeft w:val="0"/>
          <w:marRight w:val="0"/>
          <w:marTop w:val="0"/>
          <w:marBottom w:val="0"/>
          <w:divBdr>
            <w:top w:val="none" w:sz="0" w:space="0" w:color="auto"/>
            <w:left w:val="none" w:sz="0" w:space="0" w:color="auto"/>
            <w:bottom w:val="none" w:sz="0" w:space="0" w:color="auto"/>
            <w:right w:val="none" w:sz="0" w:space="0" w:color="auto"/>
          </w:divBdr>
        </w:div>
      </w:divsChild>
    </w:div>
    <w:div w:id="738282740">
      <w:bodyDiv w:val="1"/>
      <w:marLeft w:val="0"/>
      <w:marRight w:val="0"/>
      <w:marTop w:val="0"/>
      <w:marBottom w:val="0"/>
      <w:divBdr>
        <w:top w:val="none" w:sz="0" w:space="0" w:color="auto"/>
        <w:left w:val="none" w:sz="0" w:space="0" w:color="auto"/>
        <w:bottom w:val="none" w:sz="0" w:space="0" w:color="auto"/>
        <w:right w:val="none" w:sz="0" w:space="0" w:color="auto"/>
      </w:divBdr>
    </w:div>
    <w:div w:id="1069503489">
      <w:bodyDiv w:val="1"/>
      <w:marLeft w:val="0"/>
      <w:marRight w:val="0"/>
      <w:marTop w:val="0"/>
      <w:marBottom w:val="0"/>
      <w:divBdr>
        <w:top w:val="none" w:sz="0" w:space="0" w:color="auto"/>
        <w:left w:val="none" w:sz="0" w:space="0" w:color="auto"/>
        <w:bottom w:val="none" w:sz="0" w:space="0" w:color="auto"/>
        <w:right w:val="none" w:sz="0" w:space="0" w:color="auto"/>
      </w:divBdr>
      <w:divsChild>
        <w:div w:id="1877114812">
          <w:marLeft w:val="0"/>
          <w:marRight w:val="0"/>
          <w:marTop w:val="0"/>
          <w:marBottom w:val="0"/>
          <w:divBdr>
            <w:top w:val="none" w:sz="0" w:space="0" w:color="auto"/>
            <w:left w:val="none" w:sz="0" w:space="0" w:color="auto"/>
            <w:bottom w:val="none" w:sz="0" w:space="0" w:color="auto"/>
            <w:right w:val="none" w:sz="0" w:space="0" w:color="auto"/>
          </w:divBdr>
        </w:div>
      </w:divsChild>
    </w:div>
    <w:div w:id="1104038611">
      <w:bodyDiv w:val="1"/>
      <w:marLeft w:val="0"/>
      <w:marRight w:val="0"/>
      <w:marTop w:val="0"/>
      <w:marBottom w:val="0"/>
      <w:divBdr>
        <w:top w:val="none" w:sz="0" w:space="0" w:color="auto"/>
        <w:left w:val="none" w:sz="0" w:space="0" w:color="auto"/>
        <w:bottom w:val="none" w:sz="0" w:space="0" w:color="auto"/>
        <w:right w:val="none" w:sz="0" w:space="0" w:color="auto"/>
      </w:divBdr>
    </w:div>
    <w:div w:id="1217666745">
      <w:bodyDiv w:val="1"/>
      <w:marLeft w:val="0"/>
      <w:marRight w:val="0"/>
      <w:marTop w:val="0"/>
      <w:marBottom w:val="0"/>
      <w:divBdr>
        <w:top w:val="none" w:sz="0" w:space="0" w:color="auto"/>
        <w:left w:val="none" w:sz="0" w:space="0" w:color="auto"/>
        <w:bottom w:val="none" w:sz="0" w:space="0" w:color="auto"/>
        <w:right w:val="none" w:sz="0" w:space="0" w:color="auto"/>
      </w:divBdr>
    </w:div>
    <w:div w:id="1317153022">
      <w:bodyDiv w:val="1"/>
      <w:marLeft w:val="0"/>
      <w:marRight w:val="0"/>
      <w:marTop w:val="0"/>
      <w:marBottom w:val="0"/>
      <w:divBdr>
        <w:top w:val="none" w:sz="0" w:space="0" w:color="auto"/>
        <w:left w:val="none" w:sz="0" w:space="0" w:color="auto"/>
        <w:bottom w:val="none" w:sz="0" w:space="0" w:color="auto"/>
        <w:right w:val="none" w:sz="0" w:space="0" w:color="auto"/>
      </w:divBdr>
      <w:divsChild>
        <w:div w:id="1550412831">
          <w:marLeft w:val="0"/>
          <w:marRight w:val="0"/>
          <w:marTop w:val="0"/>
          <w:marBottom w:val="0"/>
          <w:divBdr>
            <w:top w:val="none" w:sz="0" w:space="0" w:color="auto"/>
            <w:left w:val="none" w:sz="0" w:space="0" w:color="auto"/>
            <w:bottom w:val="none" w:sz="0" w:space="0" w:color="auto"/>
            <w:right w:val="none" w:sz="0" w:space="0" w:color="auto"/>
          </w:divBdr>
        </w:div>
      </w:divsChild>
    </w:div>
    <w:div w:id="1899778918">
      <w:bodyDiv w:val="1"/>
      <w:marLeft w:val="0"/>
      <w:marRight w:val="0"/>
      <w:marTop w:val="0"/>
      <w:marBottom w:val="0"/>
      <w:divBdr>
        <w:top w:val="none" w:sz="0" w:space="0" w:color="auto"/>
        <w:left w:val="none" w:sz="0" w:space="0" w:color="auto"/>
        <w:bottom w:val="none" w:sz="0" w:space="0" w:color="auto"/>
        <w:right w:val="none" w:sz="0" w:space="0" w:color="auto"/>
      </w:divBdr>
    </w:div>
    <w:div w:id="194361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1774</Words>
  <Characters>10112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Rossella Maio</dc:creator>
  <cp:lastModifiedBy>utente</cp:lastModifiedBy>
  <cp:revision>7</cp:revision>
  <cp:lastPrinted>2021-04-27T09:12:00Z</cp:lastPrinted>
  <dcterms:created xsi:type="dcterms:W3CDTF">2021-04-27T11:36:00Z</dcterms:created>
  <dcterms:modified xsi:type="dcterms:W3CDTF">2021-04-29T05:54:00Z</dcterms:modified>
</cp:coreProperties>
</file>