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885" w:rsidRDefault="00D61885" w:rsidP="00D61885">
      <w:pPr>
        <w:pStyle w:val="Titolo1"/>
        <w:spacing w:before="0"/>
        <w:jc w:val="center"/>
        <w:rPr>
          <w:rFonts w:cstheme="minorHAnsi"/>
        </w:rPr>
      </w:pPr>
      <w:r w:rsidRPr="00D61885">
        <w:rPr>
          <w:rFonts w:cstheme="minorHAnsi"/>
        </w:rPr>
        <w:t xml:space="preserve">DECRETO n </w:t>
      </w:r>
      <w:r w:rsidR="00742D46">
        <w:rPr>
          <w:rFonts w:cstheme="minorHAnsi"/>
        </w:rPr>
        <w:t>207</w:t>
      </w:r>
      <w:bookmarkStart w:id="0" w:name="_GoBack"/>
      <w:bookmarkEnd w:id="0"/>
      <w:r w:rsidRPr="00D61885">
        <w:rPr>
          <w:rFonts w:cstheme="minorHAnsi"/>
        </w:rPr>
        <w:t>/2020</w:t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</w:r>
      <w:r w:rsidRPr="00D61885">
        <w:rPr>
          <w:rFonts w:cstheme="minorHAnsi"/>
        </w:rPr>
        <w:tab/>
        <w:t xml:space="preserve">   del </w:t>
      </w:r>
      <w:r w:rsidR="00C467D5">
        <w:rPr>
          <w:rFonts w:cstheme="minorHAnsi"/>
        </w:rPr>
        <w:t>02-10</w:t>
      </w:r>
      <w:r w:rsidRPr="00D61885">
        <w:rPr>
          <w:rFonts w:cstheme="minorHAnsi"/>
        </w:rPr>
        <w:t>-2020</w:t>
      </w:r>
    </w:p>
    <w:p w:rsidR="00D61885" w:rsidRPr="00D61885" w:rsidRDefault="00D61885" w:rsidP="00D61885"/>
    <w:p w:rsidR="00D61885" w:rsidRDefault="00D61885" w:rsidP="00D61885">
      <w:pPr>
        <w:pStyle w:val="Titolo1"/>
        <w:spacing w:before="0"/>
        <w:jc w:val="center"/>
        <w:rPr>
          <w:rFonts w:cstheme="minorHAnsi"/>
        </w:rPr>
      </w:pPr>
      <w:r w:rsidRPr="00D61885">
        <w:rPr>
          <w:rFonts w:cstheme="minorHAnsi"/>
        </w:rPr>
        <w:t xml:space="preserve">DETERMINA DI </w:t>
      </w:r>
      <w:r>
        <w:rPr>
          <w:rFonts w:cstheme="minorHAnsi"/>
        </w:rPr>
        <w:t>INDIZIONE</w:t>
      </w:r>
    </w:p>
    <w:p w:rsidR="00D61885" w:rsidRPr="00D61885" w:rsidRDefault="00D61885" w:rsidP="00D61885"/>
    <w:tbl>
      <w:tblPr>
        <w:tblW w:w="0" w:type="auto"/>
        <w:tblLook w:val="04A0" w:firstRow="1" w:lastRow="0" w:firstColumn="1" w:lastColumn="0" w:noHBand="0" w:noVBand="1"/>
      </w:tblPr>
      <w:tblGrid>
        <w:gridCol w:w="1141"/>
        <w:gridCol w:w="664"/>
        <w:gridCol w:w="7726"/>
        <w:gridCol w:w="107"/>
      </w:tblGrid>
      <w:tr w:rsidR="009D7A5F" w:rsidRPr="00735F8B" w:rsidTr="006D427F">
        <w:trPr>
          <w:gridAfter w:val="1"/>
          <w:wAfter w:w="107" w:type="dxa"/>
          <w:trHeight w:val="761"/>
        </w:trPr>
        <w:tc>
          <w:tcPr>
            <w:tcW w:w="1141" w:type="dxa"/>
            <w:shd w:val="clear" w:color="auto" w:fill="auto"/>
          </w:tcPr>
          <w:p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  <w:iCs/>
              </w:rPr>
            </w:pPr>
            <w:r w:rsidRPr="00735F8B">
              <w:rPr>
                <w:rFonts w:eastAsia="Calibri" w:cstheme="minorHAnsi"/>
                <w:b/>
              </w:rPr>
              <w:t>Oggetto:</w:t>
            </w:r>
          </w:p>
        </w:tc>
        <w:tc>
          <w:tcPr>
            <w:tcW w:w="8390" w:type="dxa"/>
            <w:gridSpan w:val="2"/>
            <w:shd w:val="clear" w:color="auto" w:fill="auto"/>
          </w:tcPr>
          <w:p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</w:rPr>
            </w:pPr>
            <w:r w:rsidRPr="00735F8B">
              <w:rPr>
                <w:rFonts w:eastAsia="Calibri" w:cstheme="minorHAnsi"/>
                <w:b/>
                <w:bCs/>
              </w:rPr>
              <w:t>Determina</w:t>
            </w:r>
            <w:r w:rsidR="00E64214">
              <w:rPr>
                <w:rFonts w:eastAsia="Calibri" w:cstheme="minorHAnsi"/>
                <w:b/>
                <w:bCs/>
              </w:rPr>
              <w:t xml:space="preserve"> di </w:t>
            </w:r>
            <w:r w:rsidRPr="00735F8B">
              <w:rPr>
                <w:rFonts w:eastAsia="Calibri" w:cstheme="minorHAnsi"/>
                <w:b/>
                <w:bCs/>
              </w:rPr>
              <w:t xml:space="preserve">indizione di </w:t>
            </w:r>
            <w:r w:rsidR="003F064D">
              <w:rPr>
                <w:rFonts w:eastAsia="Calibri" w:cstheme="minorHAnsi"/>
                <w:b/>
                <w:bCs/>
              </w:rPr>
              <w:t>procedura</w:t>
            </w:r>
            <w:r w:rsidRPr="00735F8B">
              <w:rPr>
                <w:rFonts w:eastAsia="Calibri" w:cstheme="minorHAnsi"/>
                <w:b/>
                <w:bCs/>
              </w:rPr>
              <w:t xml:space="preserve">, ai sensi dell’art. 36 comma 2, lettera </w:t>
            </w:r>
            <w:r w:rsidR="003F064D">
              <w:rPr>
                <w:rFonts w:eastAsia="Calibri" w:cstheme="minorHAnsi"/>
                <w:b/>
                <w:bCs/>
              </w:rPr>
              <w:t>a</w:t>
            </w:r>
            <w:r w:rsidRPr="00735F8B">
              <w:rPr>
                <w:rFonts w:eastAsia="Calibri" w:cstheme="minorHAnsi"/>
                <w:b/>
                <w:bCs/>
              </w:rPr>
              <w:t xml:space="preserve">), del </w:t>
            </w:r>
            <w:proofErr w:type="spellStart"/>
            <w:r w:rsidRPr="00735F8B">
              <w:rPr>
                <w:rFonts w:eastAsia="Calibri" w:cstheme="minorHAnsi"/>
                <w:b/>
                <w:bCs/>
              </w:rPr>
              <w:t>D.Lgs</w:t>
            </w:r>
            <w:proofErr w:type="spellEnd"/>
            <w:r w:rsidRPr="00735F8B">
              <w:rPr>
                <w:rFonts w:eastAsia="Calibri" w:cstheme="minorHAnsi"/>
                <w:b/>
                <w:bCs/>
              </w:rPr>
              <w:t xml:space="preserve"> n. 50/2016 e </w:t>
            </w:r>
            <w:proofErr w:type="spellStart"/>
            <w:r w:rsidRPr="00735F8B">
              <w:rPr>
                <w:rFonts w:eastAsia="Calibri" w:cstheme="minorHAnsi"/>
                <w:b/>
                <w:bCs/>
              </w:rPr>
              <w:t>ss.mm.ii</w:t>
            </w:r>
            <w:proofErr w:type="spellEnd"/>
            <w:r w:rsidRPr="00735F8B">
              <w:rPr>
                <w:rFonts w:eastAsia="Calibri" w:cstheme="minorHAnsi"/>
                <w:b/>
                <w:bCs/>
              </w:rPr>
              <w:t xml:space="preserve">., mediante Richiesta di </w:t>
            </w:r>
            <w:r w:rsidR="007E5AC1">
              <w:rPr>
                <w:rFonts w:eastAsia="Calibri" w:cstheme="minorHAnsi"/>
                <w:b/>
                <w:bCs/>
              </w:rPr>
              <w:t>preventivo inviato a 5 ditte specializzate</w:t>
            </w:r>
            <w:r w:rsidRPr="00735F8B">
              <w:rPr>
                <w:rFonts w:eastAsia="Calibri" w:cstheme="minorHAnsi"/>
                <w:b/>
                <w:bCs/>
              </w:rPr>
              <w:t xml:space="preserve"> sul Mercato</w:t>
            </w:r>
            <w:r w:rsidR="007E5AC1">
              <w:rPr>
                <w:rFonts w:eastAsia="Calibri" w:cstheme="minorHAnsi"/>
                <w:b/>
                <w:bCs/>
              </w:rPr>
              <w:t xml:space="preserve">  per l’affidamento dei lavori </w:t>
            </w:r>
            <w:r w:rsidR="00C467D5">
              <w:rPr>
                <w:rFonts w:eastAsia="Calibri" w:cstheme="minorHAnsi"/>
                <w:b/>
                <w:bCs/>
              </w:rPr>
              <w:t>urgenti di riqualificazione e messa in sicurezza del Laboratorio di Materiali Stradali del Dip</w:t>
            </w:r>
            <w:r w:rsidR="00E807B3">
              <w:rPr>
                <w:rFonts w:eastAsia="Calibri" w:cstheme="minorHAnsi"/>
                <w:b/>
                <w:bCs/>
              </w:rPr>
              <w:t>artimento di Ingegneria Civile, Edile e Ambientale dell’</w:t>
            </w:r>
            <w:proofErr w:type="spellStart"/>
            <w:r w:rsidR="00E807B3">
              <w:rPr>
                <w:rFonts w:eastAsia="Calibri" w:cstheme="minorHAnsi"/>
                <w:b/>
                <w:bCs/>
              </w:rPr>
              <w:t>Univerità</w:t>
            </w:r>
            <w:proofErr w:type="spellEnd"/>
            <w:r w:rsidR="00E807B3">
              <w:rPr>
                <w:rFonts w:eastAsia="Calibri" w:cstheme="minorHAnsi"/>
                <w:b/>
                <w:bCs/>
              </w:rPr>
              <w:t xml:space="preserve"> degli Studi di Napoli Federico II – Complesso universitario di Via Claudio 21 – Scuola Politecnica e delle Scienze di Base</w:t>
            </w:r>
            <w:r w:rsidRPr="00735F8B">
              <w:rPr>
                <w:rFonts w:eastAsia="Calibri" w:cstheme="minorHAnsi"/>
                <w:b/>
                <w:bCs/>
              </w:rPr>
              <w:t xml:space="preserve">, per un importo a base d’asta pari a € </w:t>
            </w:r>
            <w:r w:rsidR="00C55021">
              <w:rPr>
                <w:rFonts w:eastAsia="Calibri" w:cstheme="minorHAnsi"/>
                <w:b/>
                <w:bCs/>
              </w:rPr>
              <w:t>3</w:t>
            </w:r>
            <w:r w:rsidR="00BA0345">
              <w:rPr>
                <w:rFonts w:eastAsia="Calibri" w:cstheme="minorHAnsi"/>
                <w:b/>
                <w:bCs/>
              </w:rPr>
              <w:t>9.855</w:t>
            </w:r>
            <w:r w:rsidR="00C55021">
              <w:rPr>
                <w:rFonts w:eastAsia="Calibri" w:cstheme="minorHAnsi"/>
                <w:b/>
                <w:bCs/>
              </w:rPr>
              <w:t>,</w:t>
            </w:r>
            <w:r w:rsidR="00BA0345">
              <w:rPr>
                <w:rFonts w:eastAsia="Calibri" w:cstheme="minorHAnsi"/>
                <w:b/>
                <w:bCs/>
              </w:rPr>
              <w:t>15</w:t>
            </w:r>
            <w:r w:rsidRPr="00735F8B">
              <w:rPr>
                <w:rFonts w:eastAsia="Calibri" w:cstheme="minorHAnsi"/>
                <w:b/>
                <w:bCs/>
              </w:rPr>
              <w:t xml:space="preserve"> (IVA esclusa), con aggiudicazione mediante </w:t>
            </w:r>
            <w:r w:rsidR="00CA4076">
              <w:rPr>
                <w:rFonts w:eastAsia="Calibri" w:cstheme="minorHAnsi"/>
                <w:b/>
                <w:bCs/>
              </w:rPr>
              <w:t xml:space="preserve">il </w:t>
            </w:r>
            <w:r w:rsidRPr="00735F8B">
              <w:rPr>
                <w:rFonts w:eastAsia="Calibri" w:cstheme="minorHAnsi"/>
                <w:b/>
                <w:bCs/>
                <w:i/>
              </w:rPr>
              <w:t xml:space="preserve"> criterio del minor prezzo</w:t>
            </w:r>
            <w:r w:rsidR="00BA0345">
              <w:rPr>
                <w:rFonts w:eastAsia="Calibri" w:cstheme="minorHAnsi"/>
                <w:b/>
                <w:bCs/>
                <w:i/>
              </w:rPr>
              <w:t>.</w:t>
            </w:r>
          </w:p>
          <w:p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/>
                <w:bCs/>
              </w:rPr>
            </w:pPr>
            <w:r w:rsidRPr="00735F8B">
              <w:rPr>
                <w:rFonts w:eastAsia="Calibri" w:cstheme="minorHAnsi"/>
                <w:b/>
                <w:bCs/>
              </w:rPr>
              <w:t>CIG:</w:t>
            </w:r>
            <w:r w:rsidR="00C55021">
              <w:rPr>
                <w:rFonts w:eastAsia="Calibri" w:cstheme="minorHAnsi"/>
                <w:b/>
                <w:bCs/>
              </w:rPr>
              <w:t xml:space="preserve"> </w:t>
            </w:r>
            <w:r w:rsidR="00BA0345">
              <w:rPr>
                <w:rFonts w:eastAsia="Calibri" w:cstheme="minorHAnsi"/>
                <w:b/>
                <w:bCs/>
              </w:rPr>
              <w:t>Z482E72DE0</w:t>
            </w:r>
          </w:p>
          <w:p w:rsidR="009D7A5F" w:rsidRPr="00735F8B" w:rsidRDefault="009D7A5F" w:rsidP="004156D7">
            <w:pPr>
              <w:autoSpaceDE w:val="0"/>
              <w:jc w:val="both"/>
              <w:rPr>
                <w:rFonts w:eastAsia="Calibri" w:cstheme="minorHAnsi"/>
                <w:bCs/>
                <w:i/>
              </w:rPr>
            </w:pPr>
          </w:p>
        </w:tc>
      </w:tr>
      <w:tr w:rsidR="009D7A5F" w:rsidRPr="00735F8B" w:rsidTr="006D427F">
        <w:tc>
          <w:tcPr>
            <w:tcW w:w="9638" w:type="dxa"/>
            <w:gridSpan w:val="4"/>
            <w:shd w:val="clear" w:color="auto" w:fill="auto"/>
          </w:tcPr>
          <w:p w:rsidR="001C73F2" w:rsidRPr="009A1927" w:rsidRDefault="001C73F2" w:rsidP="009A1927">
            <w:pPr>
              <w:spacing w:before="240" w:after="240"/>
              <w:ind w:left="-57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>
              <w:rPr>
                <w:rFonts w:eastAsia="Calibri" w:cstheme="minorHAnsi"/>
                <w:b/>
                <w:sz w:val="24"/>
                <w:szCs w:val="24"/>
              </w:rPr>
              <w:t>IL DIRETTORE DEL DIPARTIMENTO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E150CF">
            <w:pPr>
              <w:ind w:left="-57"/>
              <w:jc w:val="both"/>
              <w:rPr>
                <w:rFonts w:eastAsia="Calibri" w:cstheme="minorHAnsi"/>
              </w:rPr>
            </w:pPr>
            <w:proofErr w:type="gramStart"/>
            <w:r w:rsidRPr="00EC68C3">
              <w:rPr>
                <w:rFonts w:eastAsia="Calibri" w:cstheme="minorHAnsi"/>
              </w:rPr>
              <w:t>il</w:t>
            </w:r>
            <w:proofErr w:type="gramEnd"/>
            <w:r w:rsidRPr="00EC68C3">
              <w:rPr>
                <w:rFonts w:eastAsia="Calibri" w:cstheme="minorHAnsi"/>
              </w:rPr>
              <w:t xml:space="preserve"> </w:t>
            </w:r>
            <w:proofErr w:type="spellStart"/>
            <w:r w:rsidRPr="00EC68C3">
              <w:rPr>
                <w:rFonts w:eastAsia="Calibri" w:cstheme="minorHAnsi"/>
              </w:rPr>
              <w:t>D.Lgs.</w:t>
            </w:r>
            <w:proofErr w:type="spellEnd"/>
            <w:r w:rsidRPr="00EC68C3">
              <w:rPr>
                <w:rFonts w:eastAsia="Calibri" w:cstheme="minorHAnsi"/>
              </w:rPr>
              <w:t xml:space="preserve"> 18 aprile 2016, n. 50</w:t>
            </w:r>
            <w:r w:rsidR="00E150CF">
              <w:rPr>
                <w:rFonts w:eastAsia="Calibri" w:cstheme="minorHAnsi"/>
              </w:rPr>
              <w:t xml:space="preserve"> e </w:t>
            </w:r>
            <w:proofErr w:type="spellStart"/>
            <w:r w:rsidR="00E150CF">
              <w:rPr>
                <w:rFonts w:eastAsia="Calibri" w:cstheme="minorHAnsi"/>
              </w:rPr>
              <w:t>s.m.i</w:t>
            </w:r>
            <w:proofErr w:type="spellEnd"/>
            <w:r w:rsidR="00E150CF">
              <w:rPr>
                <w:rFonts w:eastAsia="Calibri" w:cstheme="minorHAnsi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widowControl w:val="0"/>
              <w:jc w:val="both"/>
              <w:rPr>
                <w:rFonts w:eastAsia="Times" w:cstheme="minorHAnsi"/>
                <w:b/>
              </w:rPr>
            </w:pPr>
            <w:r w:rsidRPr="00735F8B">
              <w:rPr>
                <w:rFonts w:eastAsia="Times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4156D7">
            <w:pPr>
              <w:widowControl w:val="0"/>
              <w:jc w:val="both"/>
              <w:rPr>
                <w:rFonts w:eastAsia="Times" w:cstheme="minorHAnsi"/>
              </w:rPr>
            </w:pPr>
            <w:proofErr w:type="gramStart"/>
            <w:r w:rsidRPr="00735F8B">
              <w:rPr>
                <w:rFonts w:eastAsia="Times" w:cstheme="minorHAnsi"/>
              </w:rPr>
              <w:t>in</w:t>
            </w:r>
            <w:proofErr w:type="gramEnd"/>
            <w:r w:rsidRPr="00735F8B">
              <w:rPr>
                <w:rFonts w:eastAsia="Times" w:cstheme="minorHAnsi"/>
              </w:rPr>
              <w:t xml:space="preserve"> particolare</w:t>
            </w:r>
            <w:r w:rsidRPr="00735F8B">
              <w:rPr>
                <w:rFonts w:eastAsia="Times" w:cstheme="minorHAnsi"/>
                <w:b/>
              </w:rPr>
              <w:t xml:space="preserve"> </w:t>
            </w:r>
            <w:r w:rsidRPr="00735F8B">
              <w:rPr>
                <w:rFonts w:eastAsia="Times" w:cstheme="minorHAnsi"/>
              </w:rPr>
              <w:t xml:space="preserve">l’art. 32, comma 2, del </w:t>
            </w:r>
            <w:proofErr w:type="spellStart"/>
            <w:r w:rsidRPr="00735F8B">
              <w:rPr>
                <w:rFonts w:eastAsia="Times" w:cstheme="minorHAnsi"/>
              </w:rPr>
              <w:t>D.Lgs.</w:t>
            </w:r>
            <w:proofErr w:type="spellEnd"/>
            <w:r w:rsidRPr="00735F8B">
              <w:rPr>
                <w:rFonts w:eastAsia="Times" w:cstheme="minorHAnsi"/>
              </w:rPr>
              <w:t xml:space="preserve"> 50/2016,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14477D" w:rsidRDefault="009D7A5F" w:rsidP="005666FE">
            <w:pPr>
              <w:ind w:left="-57"/>
              <w:jc w:val="both"/>
              <w:rPr>
                <w:rFonts w:cstheme="minorHAnsi"/>
                <w:i/>
              </w:rPr>
            </w:pPr>
            <w:proofErr w:type="gramStart"/>
            <w:r w:rsidRPr="00735F8B">
              <w:rPr>
                <w:rFonts w:eastAsia="Calibri" w:cstheme="minorHAnsi"/>
              </w:rPr>
              <w:t>in</w:t>
            </w:r>
            <w:proofErr w:type="gramEnd"/>
            <w:r w:rsidRPr="00735F8B">
              <w:rPr>
                <w:rFonts w:eastAsia="Calibri" w:cstheme="minorHAnsi"/>
              </w:rPr>
              <w:t xml:space="preserve"> particolare, l’art. 36, comma 2, lettera</w:t>
            </w:r>
            <w:r w:rsidR="00CC4392">
              <w:rPr>
                <w:rFonts w:eastAsia="Calibri" w:cstheme="minorHAnsi"/>
              </w:rPr>
              <w:t xml:space="preserve"> a</w:t>
            </w:r>
            <w:r w:rsidRPr="00735F8B">
              <w:rPr>
                <w:rFonts w:eastAsia="Calibri" w:cstheme="minorHAnsi"/>
              </w:rPr>
              <w:t xml:space="preserve">) del </w:t>
            </w:r>
            <w:proofErr w:type="spellStart"/>
            <w:r w:rsidRPr="00735F8B">
              <w:rPr>
                <w:rFonts w:eastAsia="Calibri" w:cstheme="minorHAnsi"/>
              </w:rPr>
              <w:t>D.Lgs.</w:t>
            </w:r>
            <w:proofErr w:type="spellEnd"/>
            <w:r w:rsidRPr="00735F8B">
              <w:rPr>
                <w:rFonts w:eastAsia="Calibri" w:cstheme="minorHAnsi"/>
              </w:rPr>
              <w:t xml:space="preserve"> 50/2016, il quale prevede </w:t>
            </w:r>
            <w:proofErr w:type="spellStart"/>
            <w:proofErr w:type="gramStart"/>
            <w:r w:rsidRPr="00735F8B">
              <w:rPr>
                <w:rFonts w:eastAsia="Calibri" w:cstheme="minorHAnsi"/>
              </w:rPr>
              <w:t>che</w:t>
            </w:r>
            <w:r w:rsidR="00CC4392" w:rsidRPr="004A6394">
              <w:rPr>
                <w:rFonts w:ascii="Calibri" w:eastAsia="Calibri" w:hAnsi="Calibri" w:cs="Calibri"/>
              </w:rPr>
              <w:t>«</w:t>
            </w:r>
            <w:proofErr w:type="gramEnd"/>
            <w:r w:rsidR="00CC4392" w:rsidRPr="004A6394">
              <w:rPr>
                <w:rFonts w:ascii="Calibri" w:eastAsia="Calibri" w:hAnsi="Calibri" w:cs="Calibri"/>
                <w:i/>
              </w:rPr>
              <w:t>Fermo</w:t>
            </w:r>
            <w:proofErr w:type="spellEnd"/>
            <w:r w:rsidR="00CC4392" w:rsidRPr="004A6394">
              <w:rPr>
                <w:rFonts w:ascii="Calibri" w:eastAsia="Calibri" w:hAnsi="Calibri" w:cs="Calibri"/>
                <w:i/>
              </w:rPr>
              <w:t xml:space="preserve"> restando quanto previsto dagli articoli 37 e 38 e salva la possibilità di ricorrere alle procedure ordinarie, le stazioni appaltanti procedono all'affidamento di lavori, servizi e forniture di importo inferiore alle soglie di cui all'articolo 35, secondo le seguenti modalità: a) per affidamenti di importo inferiore a 40.000 euro, mediante affidamento diretto, anche senza previa consultazione di due o più operatori economici 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3F064D" w:rsidRDefault="009D7A5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l’art. 36, comma 7</w:t>
            </w:r>
            <w:r>
              <w:rPr>
                <w:rFonts w:eastAsia="Calibri" w:cstheme="minorHAnsi"/>
              </w:rPr>
              <w:t>,</w:t>
            </w:r>
            <w:r w:rsidRPr="00735F8B">
              <w:rPr>
                <w:rFonts w:eastAsia="Calibri" w:cstheme="minorHAnsi"/>
              </w:rPr>
              <w:t xml:space="preserve"> del </w:t>
            </w:r>
            <w:proofErr w:type="spellStart"/>
            <w:r w:rsidRPr="00735F8B">
              <w:rPr>
                <w:rFonts w:eastAsia="Calibri" w:cstheme="minorHAnsi"/>
              </w:rPr>
              <w:t>D.Lgs.</w:t>
            </w:r>
            <w:proofErr w:type="spellEnd"/>
            <w:r w:rsidRPr="00735F8B">
              <w:rPr>
                <w:rFonts w:eastAsia="Calibri" w:cstheme="minorHAnsi"/>
              </w:rPr>
              <w:t xml:space="preserve"> 50/2016, il quale prevede che «</w:t>
            </w:r>
            <w:r w:rsidRPr="007D38EA">
              <w:rPr>
                <w:rFonts w:eastAsia="Calibri" w:cstheme="minorHAnsi"/>
                <w:i/>
              </w:rPr>
              <w:t>Con il regolamento di cui all’articolo 216, comma 27-octies, sono stabilite le modalità relative alle procedure di cui al presente articolo, alle indagini di mercato, nonché per la formazione e gestione degli elenchi degli operatori economici. Nel predetto regolamento sono anche indicate specifiche modalità di rotazione degli inviti e degli affidamenti e di attuazione delle verifiche sull’affidatario scelto senza svolgimento di procedura negoziata. Fino alla data di entrata in vigore del regolamento di cui all’articolo 216, comma 27-octies, si applica la disposizione transitoria ivi prevista»</w:t>
            </w:r>
            <w:r w:rsidR="003F064D">
              <w:rPr>
                <w:rFonts w:eastAsia="Calibri" w:cstheme="minorHAnsi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VISTE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CC4392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 xml:space="preserve">le Linee Guida </w:t>
            </w:r>
            <w:r w:rsidR="003F064D">
              <w:rPr>
                <w:rFonts w:eastAsia="Calibri" w:cstheme="minorHAnsi"/>
              </w:rPr>
              <w:t xml:space="preserve">ANAC </w:t>
            </w:r>
            <w:r w:rsidRPr="00735F8B">
              <w:rPr>
                <w:rFonts w:eastAsia="Calibri" w:cstheme="minorHAnsi"/>
              </w:rPr>
              <w:t>n. 4, aggiornate al Decreto Legislativo 19 aprile 2017, n. 56 con delibera del Consiglio n. 206 del 1 marzo 2018, recanti «</w:t>
            </w:r>
            <w:r w:rsidRPr="00735F8B">
              <w:rPr>
                <w:rFonts w:eastAsia="Calibri" w:cstheme="minorHAnsi"/>
                <w:i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735F8B">
              <w:rPr>
                <w:rFonts w:eastAsia="Calibri" w:cstheme="minorHAnsi"/>
              </w:rPr>
              <w:t>»</w:t>
            </w:r>
            <w:r w:rsidR="00CC4392" w:rsidRPr="004A6394">
              <w:rPr>
                <w:rFonts w:ascii="Calibri" w:eastAsia="Calibri" w:hAnsi="Calibri" w:cs="Calibri"/>
              </w:rPr>
              <w:t xml:space="preserve"> le quali hanno</w:t>
            </w:r>
            <w:r w:rsidR="00CC4392">
              <w:rPr>
                <w:rFonts w:ascii="Calibri" w:eastAsia="Calibri" w:hAnsi="Calibri" w:cs="Calibri"/>
              </w:rPr>
              <w:t xml:space="preserve">, tra l’altro, </w:t>
            </w:r>
            <w:r w:rsidR="00CC4392" w:rsidRPr="004A6394">
              <w:rPr>
                <w:rFonts w:ascii="Calibri" w:eastAsia="Calibri" w:hAnsi="Calibri" w:cs="Calibri"/>
              </w:rPr>
              <w:t>previsto che, ai fini della scelta dell’affidatario in via diretta, «[…]</w:t>
            </w:r>
            <w:r w:rsidR="00CC4392" w:rsidRPr="00735F8B">
              <w:rPr>
                <w:rFonts w:eastAsia="Calibri" w:cstheme="minorHAnsi"/>
                <w:i/>
              </w:rPr>
              <w:t xml:space="preserve"> la stazione </w:t>
            </w:r>
            <w:r w:rsidR="00CC4392" w:rsidRPr="00735F8B">
              <w:rPr>
                <w:rFonts w:eastAsia="Calibri" w:cstheme="minorHAnsi"/>
                <w:i/>
              </w:rPr>
              <w:lastRenderedPageBreak/>
              <w:t>appaltante può ricorrere alla comparazione dei listini di mercato, di offerte precedenti per commesse identiche o analoghe o all’analisi dei prezzi praticati ad altre amministrazioni.</w:t>
            </w:r>
            <w:r w:rsidR="00CC4392" w:rsidRPr="004A6394">
              <w:rPr>
                <w:rFonts w:ascii="Calibri" w:eastAsia="Calibri" w:hAnsi="Calibri" w:cs="Calibri"/>
              </w:rPr>
              <w:t xml:space="preserve"> </w:t>
            </w:r>
            <w:r w:rsidR="00CC4392" w:rsidRPr="00817CC9">
              <w:rPr>
                <w:rFonts w:ascii="Calibri" w:eastAsia="Calibri" w:hAnsi="Calibri" w:cs="Calibri"/>
                <w:i/>
              </w:rPr>
              <w:t>In ogni caso,</w:t>
            </w:r>
            <w:r w:rsidR="00CC4392" w:rsidRPr="004A6394">
              <w:rPr>
                <w:rFonts w:ascii="Calibri" w:eastAsia="Calibri" w:hAnsi="Calibri" w:cs="Calibri"/>
                <w:i/>
              </w:rPr>
              <w:t xml:space="preserve"> il confronto dei preventivi di spesa forniti da due o più operatori economici rappresenta una best </w:t>
            </w:r>
            <w:proofErr w:type="spellStart"/>
            <w:r w:rsidR="00CC4392" w:rsidRPr="004A6394">
              <w:rPr>
                <w:rFonts w:ascii="Calibri" w:eastAsia="Calibri" w:hAnsi="Calibri" w:cs="Calibri"/>
                <w:i/>
              </w:rPr>
              <w:t>practice</w:t>
            </w:r>
            <w:proofErr w:type="spellEnd"/>
            <w:r w:rsidR="00CC4392" w:rsidRPr="004A6394">
              <w:rPr>
                <w:rFonts w:ascii="Calibri" w:eastAsia="Calibri" w:hAnsi="Calibri" w:cs="Calibri"/>
                <w:i/>
              </w:rPr>
              <w:t xml:space="preserve"> anche alla luce del principio di concorrenza</w:t>
            </w:r>
            <w:r w:rsidR="00CC4392" w:rsidRPr="004A6394">
              <w:rPr>
                <w:rFonts w:ascii="Calibri" w:eastAsia="Calibri" w:hAnsi="Calibri" w:cs="Calibri"/>
              </w:rPr>
              <w:t>»;</w:t>
            </w:r>
            <w:r w:rsidRPr="00735F8B">
              <w:rPr>
                <w:rFonts w:eastAsia="Calibri" w:cstheme="minorHAnsi"/>
              </w:rPr>
              <w:t xml:space="preserve"> 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tabs>
                <w:tab w:val="left" w:pos="952"/>
              </w:tabs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lastRenderedPageBreak/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9A1927" w:rsidRDefault="00E150CF" w:rsidP="004156D7">
            <w:pPr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4A6394">
              <w:rPr>
                <w:rFonts w:ascii="Calibri" w:eastAsia="Calibri" w:hAnsi="Calibri" w:cs="Calibri"/>
              </w:rPr>
              <w:t xml:space="preserve">l’art. 1, comma 449 della L. 296 del 2006, come modificato dall’art. 1, comma 495, L. n. 208 del 2015, che prevede </w:t>
            </w:r>
            <w:r>
              <w:rPr>
                <w:rFonts w:ascii="Calibri" w:eastAsia="Calibri" w:hAnsi="Calibri" w:cs="Calibri"/>
              </w:rPr>
              <w:t xml:space="preserve">che </w:t>
            </w:r>
            <w:r w:rsidRPr="00315C71">
              <w:rPr>
                <w:rFonts w:ascii="Calibri" w:eastAsia="Calibri" w:hAnsi="Calibri" w:cs="Times New Roman"/>
              </w:rPr>
              <w:t xml:space="preserve">le istituzioni universitarie – tra gli altri - sono tenute ad approvvigionarsi utilizzando le Convenzioni stipulate da </w:t>
            </w:r>
            <w:proofErr w:type="spellStart"/>
            <w:r w:rsidRPr="00315C71">
              <w:rPr>
                <w:rFonts w:ascii="Calibri" w:eastAsia="Calibri" w:hAnsi="Calibri" w:cs="Times New Roman"/>
              </w:rPr>
              <w:t>Consip</w:t>
            </w:r>
            <w:proofErr w:type="spellEnd"/>
            <w:r w:rsidRPr="00315C71">
              <w:rPr>
                <w:rFonts w:ascii="Calibri" w:eastAsia="Calibri" w:hAnsi="Calibri" w:cs="Times New Roman"/>
              </w:rPr>
              <w:t xml:space="preserve"> S.p.A.</w:t>
            </w:r>
            <w:r>
              <w:rPr>
                <w:rFonts w:ascii="Calibri" w:eastAsia="Calibri" w:hAnsi="Calibri" w:cs="Times New Roman"/>
              </w:rPr>
              <w:t xml:space="preserve">, previste </w:t>
            </w:r>
            <w:r w:rsidRPr="00315C71">
              <w:rPr>
                <w:rFonts w:ascii="Calibri" w:eastAsia="Calibri" w:hAnsi="Calibri" w:cs="Times New Roman"/>
              </w:rPr>
              <w:t>dall’art. 26 della legge 488/2000</w:t>
            </w:r>
            <w:r>
              <w:rPr>
                <w:rFonts w:ascii="Calibri" w:eastAsia="Calibri" w:hAnsi="Calibri" w:cs="Times New Roman"/>
              </w:rPr>
              <w:t xml:space="preserve"> e </w:t>
            </w:r>
            <w:proofErr w:type="gramStart"/>
            <w:r>
              <w:rPr>
                <w:rFonts w:ascii="Calibri" w:eastAsia="Calibri" w:hAnsi="Calibri" w:cs="Times New Roman"/>
              </w:rPr>
              <w:t>s. .</w:t>
            </w:r>
            <w:proofErr w:type="spellStart"/>
            <w:proofErr w:type="gramEnd"/>
            <w:r>
              <w:rPr>
                <w:rFonts w:ascii="Calibri" w:eastAsia="Calibri" w:hAnsi="Calibri" w:cs="Times New Roman"/>
              </w:rPr>
              <w:t>m.i.</w:t>
            </w:r>
            <w:proofErr w:type="spellEnd"/>
            <w:r>
              <w:rPr>
                <w:rFonts w:ascii="Calibri" w:eastAsia="Calibri" w:hAnsi="Calibri" w:cs="Times New Roman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E150C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1A6B23">
              <w:rPr>
                <w:rFonts w:ascii="Calibri" w:eastAsia="Calibri" w:hAnsi="Calibri" w:cs="Times New Roman"/>
                <w:i/>
              </w:rPr>
              <w:t xml:space="preserve"> </w:t>
            </w:r>
            <w:r w:rsidRPr="00315C71">
              <w:rPr>
                <w:rFonts w:ascii="Calibri" w:eastAsia="Calibri" w:hAnsi="Calibri" w:cs="Times New Roman"/>
              </w:rPr>
              <w:t>l’art. 1 comma 450 della legge n. 296/2006, come modificato dall’articolo 1 comma 130 della legge 145/2018</w:t>
            </w:r>
            <w:r>
              <w:rPr>
                <w:rFonts w:ascii="Calibri" w:eastAsia="Calibri" w:hAnsi="Calibri" w:cs="Times New Roman"/>
              </w:rPr>
              <w:t xml:space="preserve">, che stabilisce che </w:t>
            </w:r>
            <w:r w:rsidRPr="00FE2ACC">
              <w:rPr>
                <w:rFonts w:ascii="Calibri" w:eastAsia="Calibri" w:hAnsi="Calibri" w:cs="Times New Roman"/>
              </w:rPr>
              <w:t>le Università – tra gli altri – sono tenute a fare ricorso al mercato elettronico della pubblica amministrazione [Me.PA.]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315C71">
              <w:rPr>
                <w:rFonts w:ascii="Calibri" w:eastAsia="Calibri" w:hAnsi="Calibri" w:cs="Times New Roman"/>
              </w:rPr>
              <w:t>per gli acquisti di beni e servizi di importo pari o superiore a 5</w:t>
            </w:r>
            <w:r w:rsidR="003F064D">
              <w:rPr>
                <w:rFonts w:ascii="Calibri" w:eastAsia="Calibri" w:hAnsi="Calibri" w:cs="Times New Roman"/>
              </w:rPr>
              <w:t>.</w:t>
            </w:r>
            <w:r w:rsidRPr="00315C71">
              <w:rPr>
                <w:rFonts w:ascii="Calibri" w:eastAsia="Calibri" w:hAnsi="Calibri" w:cs="Times New Roman"/>
              </w:rPr>
              <w:t>000 euro</w:t>
            </w:r>
            <w:r>
              <w:rPr>
                <w:rFonts w:ascii="Calibri" w:eastAsia="Calibri" w:hAnsi="Calibri" w:cs="Times New Roman"/>
              </w:rPr>
              <w:t>,</w:t>
            </w:r>
            <w:r w:rsidRPr="00315C71">
              <w:rPr>
                <w:rFonts w:ascii="Calibri" w:eastAsia="Calibri" w:hAnsi="Calibri" w:cs="Times New Roman"/>
              </w:rPr>
              <w:t xml:space="preserve"> e</w:t>
            </w:r>
            <w:r>
              <w:rPr>
                <w:rFonts w:ascii="Calibri" w:eastAsia="Calibri" w:hAnsi="Calibri" w:cs="Times New Roman"/>
              </w:rPr>
              <w:t>d</w:t>
            </w:r>
            <w:r w:rsidRPr="00315C71">
              <w:rPr>
                <w:rFonts w:ascii="Calibri" w:eastAsia="Calibri" w:hAnsi="Calibri" w:cs="Times New Roman"/>
              </w:rPr>
              <w:t xml:space="preserve"> al di sotto della soglia di rilievo comunitario</w:t>
            </w:r>
            <w:r>
              <w:rPr>
                <w:rFonts w:ascii="Calibri" w:eastAsia="Calibri" w:hAnsi="Calibri" w:cs="Times New Roman"/>
              </w:rPr>
              <w:t>;</w:t>
            </w:r>
          </w:p>
        </w:tc>
      </w:tr>
      <w:tr w:rsidR="00E150CF" w:rsidRPr="00735F8B" w:rsidTr="006D427F">
        <w:tc>
          <w:tcPr>
            <w:tcW w:w="1805" w:type="dxa"/>
            <w:gridSpan w:val="2"/>
            <w:shd w:val="clear" w:color="auto" w:fill="auto"/>
          </w:tcPr>
          <w:p w:rsidR="00E150CF" w:rsidRPr="00735F8B" w:rsidRDefault="003B3A03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VISTA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E150CF" w:rsidRPr="00A6771E" w:rsidRDefault="00336E36" w:rsidP="00F8444F">
            <w:pPr>
              <w:jc w:val="both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La corrispondenza intercorsa tra l’Ufficio Tecnico di Fuorigrotta ed il </w:t>
            </w:r>
            <w:proofErr w:type="spellStart"/>
            <w:r>
              <w:rPr>
                <w:rFonts w:ascii="Calibri" w:eastAsia="Calibri" w:hAnsi="Calibri" w:cs="Calibri"/>
                <w:bCs/>
              </w:rPr>
              <w:t>Dicea</w:t>
            </w:r>
            <w:proofErr w:type="spellEnd"/>
            <w:r>
              <w:rPr>
                <w:rFonts w:ascii="Calibri" w:eastAsia="Calibri" w:hAnsi="Calibri" w:cs="Calibri"/>
                <w:bCs/>
              </w:rPr>
              <w:t xml:space="preserve">, ove è evidenziato l’urgenza dei lavori indicati nel computo metrico stante la pericolosità per chi frequenta gli </w:t>
            </w:r>
            <w:proofErr w:type="gramStart"/>
            <w:r>
              <w:rPr>
                <w:rFonts w:ascii="Calibri" w:eastAsia="Calibri" w:hAnsi="Calibri" w:cs="Calibri"/>
                <w:bCs/>
              </w:rPr>
              <w:t xml:space="preserve">ambienti </w:t>
            </w:r>
            <w:r w:rsidR="003B3A03" w:rsidRPr="00A6771E">
              <w:rPr>
                <w:rFonts w:ascii="Calibri" w:eastAsia="Calibri" w:hAnsi="Calibri" w:cs="Calibri"/>
                <w:bCs/>
              </w:rPr>
              <w:t>,</w:t>
            </w:r>
            <w:proofErr w:type="gramEnd"/>
            <w:r w:rsidR="003B3A03" w:rsidRPr="00A6771E">
              <w:rPr>
                <w:rFonts w:ascii="Calibri" w:eastAsia="Calibri" w:hAnsi="Calibri" w:cs="Calibri"/>
                <w:bCs/>
              </w:rPr>
              <w:t xml:space="preserve"> </w:t>
            </w:r>
            <w:r w:rsidR="00F8444F">
              <w:rPr>
                <w:rFonts w:ascii="Calibri" w:eastAsia="Calibri" w:hAnsi="Calibri" w:cs="Calibri"/>
                <w:bCs/>
              </w:rPr>
              <w:t>visti</w:t>
            </w:r>
            <w:r w:rsidR="003B3A03" w:rsidRPr="00A6771E">
              <w:rPr>
                <w:rFonts w:ascii="Calibri" w:eastAsia="Calibri" w:hAnsi="Calibri" w:cs="Calibri"/>
                <w:bCs/>
              </w:rPr>
              <w:t xml:space="preserve"> i </w:t>
            </w:r>
            <w:r w:rsidR="00F8444F">
              <w:rPr>
                <w:rFonts w:ascii="Calibri" w:eastAsia="Calibri" w:hAnsi="Calibri" w:cs="Calibri"/>
                <w:bCs/>
              </w:rPr>
              <w:t xml:space="preserve">vari sopralluoghi effettuati nei locali del Laboratorio </w:t>
            </w:r>
            <w:proofErr w:type="spellStart"/>
            <w:r w:rsidR="00F8444F">
              <w:rPr>
                <w:rFonts w:ascii="Calibri" w:eastAsia="Calibri" w:hAnsi="Calibri" w:cs="Calibri"/>
                <w:bCs/>
              </w:rPr>
              <w:t>La.S.Tra</w:t>
            </w:r>
            <w:proofErr w:type="spellEnd"/>
            <w:r w:rsidR="00F8444F">
              <w:rPr>
                <w:rFonts w:ascii="Calibri" w:eastAsia="Calibri" w:hAnsi="Calibri" w:cs="Calibri"/>
                <w:bCs/>
              </w:rPr>
              <w:t>.</w:t>
            </w:r>
            <w:r w:rsidR="003B3A03" w:rsidRPr="00A6771E">
              <w:rPr>
                <w:rFonts w:ascii="Calibri" w:eastAsia="Calibri" w:hAnsi="Calibri" w:cs="Calibri"/>
                <w:bCs/>
              </w:rPr>
              <w:t>, do</w:t>
            </w:r>
            <w:r w:rsidR="00A6771E">
              <w:rPr>
                <w:rFonts w:ascii="Calibri" w:eastAsia="Calibri" w:hAnsi="Calibri" w:cs="Calibri"/>
                <w:bCs/>
              </w:rPr>
              <w:t>v</w:t>
            </w:r>
            <w:r w:rsidR="003B3A03" w:rsidRPr="00A6771E">
              <w:rPr>
                <w:rFonts w:ascii="Calibri" w:eastAsia="Calibri" w:hAnsi="Calibri" w:cs="Calibri"/>
                <w:bCs/>
              </w:rPr>
              <w:t xml:space="preserve">e sono state riscontrate le </w:t>
            </w:r>
            <w:r w:rsidR="00F8444F">
              <w:rPr>
                <w:rFonts w:ascii="Calibri" w:eastAsia="Calibri" w:hAnsi="Calibri" w:cs="Calibri"/>
                <w:bCs/>
              </w:rPr>
              <w:t>criticità indicate nel computo metrico</w:t>
            </w:r>
            <w:r w:rsidR="003B3A03" w:rsidRPr="00A6771E">
              <w:rPr>
                <w:rFonts w:ascii="Calibri" w:eastAsia="Calibri" w:hAnsi="Calibri" w:cs="Calibri"/>
                <w:bCs/>
              </w:rPr>
              <w:t xml:space="preserve"> allegat</w:t>
            </w:r>
            <w:r w:rsidR="00F8444F">
              <w:rPr>
                <w:rFonts w:ascii="Calibri" w:eastAsia="Calibri" w:hAnsi="Calibri" w:cs="Calibri"/>
                <w:bCs/>
              </w:rPr>
              <w:t>o</w:t>
            </w:r>
            <w:r w:rsidR="003B3A03" w:rsidRPr="00A6771E">
              <w:rPr>
                <w:rFonts w:ascii="Calibri" w:eastAsia="Calibri" w:hAnsi="Calibri" w:cs="Calibri"/>
                <w:bCs/>
              </w:rPr>
              <w:t xml:space="preserve"> alla presente determina.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3F064D">
            <w:pPr>
              <w:ind w:left="-57"/>
              <w:jc w:val="both"/>
              <w:rPr>
                <w:rFonts w:eastAsia="Calibri" w:cstheme="minorHAnsi"/>
              </w:rPr>
            </w:pPr>
            <w:proofErr w:type="gramStart"/>
            <w:r w:rsidRPr="00735F8B">
              <w:rPr>
                <w:rFonts w:eastAsia="Calibri" w:cstheme="minorHAnsi"/>
              </w:rPr>
              <w:t>che</w:t>
            </w:r>
            <w:proofErr w:type="gramEnd"/>
            <w:r w:rsidRPr="00735F8B">
              <w:rPr>
                <w:rFonts w:eastAsia="Calibri" w:cstheme="minorHAnsi"/>
              </w:rPr>
              <w:t xml:space="preserve"> ai sensi dell'articolo 36, comma 6, ultimo periodo del Codice, il Ministero dell’Economia e delle Finanze, avvalendosi di CONSIP S.p.A., ha messo a disposizione delle Stazioni Appaltanti il Mercato Elettronico delle Pubbliche Amministrazioni e, dato atto, pertanto</w:t>
            </w:r>
            <w:r w:rsidR="003F064D">
              <w:rPr>
                <w:rFonts w:eastAsia="Calibri" w:cstheme="minorHAnsi"/>
              </w:rPr>
              <w:t>, del fatto che,</w:t>
            </w:r>
            <w:r w:rsidRPr="00735F8B">
              <w:rPr>
                <w:rFonts w:eastAsia="Calibri" w:cstheme="minorHAnsi"/>
              </w:rPr>
              <w:t xml:space="preserve"> sul MEPA</w:t>
            </w:r>
            <w:r w:rsidR="003F064D">
              <w:rPr>
                <w:rFonts w:eastAsia="Calibri" w:cstheme="minorHAnsi"/>
              </w:rPr>
              <w:t>,</w:t>
            </w:r>
            <w:r w:rsidRPr="00735F8B">
              <w:rPr>
                <w:rFonts w:eastAsia="Calibri" w:cstheme="minorHAnsi"/>
              </w:rPr>
              <w:t xml:space="preserve"> si può acquistare </w:t>
            </w:r>
            <w:r w:rsidR="00433D29">
              <w:rPr>
                <w:rFonts w:eastAsia="Calibri" w:cstheme="minorHAnsi"/>
              </w:rPr>
              <w:t xml:space="preserve">anche </w:t>
            </w:r>
            <w:r w:rsidRPr="00735F8B">
              <w:rPr>
                <w:rFonts w:eastAsia="Calibri" w:cstheme="minorHAnsi"/>
              </w:rPr>
              <w:t>mediante Richiesta di Offerta (</w:t>
            </w:r>
            <w:proofErr w:type="spellStart"/>
            <w:r w:rsidRPr="00735F8B">
              <w:rPr>
                <w:rFonts w:eastAsia="Calibri" w:cstheme="minorHAnsi"/>
              </w:rPr>
              <w:t>RdO</w:t>
            </w:r>
            <w:proofErr w:type="spellEnd"/>
            <w:r w:rsidRPr="00735F8B">
              <w:rPr>
                <w:rFonts w:eastAsia="Calibri" w:cstheme="minorHAnsi"/>
              </w:rPr>
              <w:t xml:space="preserve">); </w:t>
            </w:r>
          </w:p>
        </w:tc>
      </w:tr>
      <w:tr w:rsidR="00CD295A" w:rsidRPr="00735F8B" w:rsidTr="006D427F">
        <w:tc>
          <w:tcPr>
            <w:tcW w:w="1805" w:type="dxa"/>
            <w:gridSpan w:val="2"/>
            <w:shd w:val="clear" w:color="auto" w:fill="auto"/>
          </w:tcPr>
          <w:p w:rsidR="00CD295A" w:rsidRDefault="00CD295A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VISTE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CD295A" w:rsidRPr="009A1927" w:rsidRDefault="00D7088B" w:rsidP="00451E8F">
            <w:pPr>
              <w:jc w:val="both"/>
              <w:rPr>
                <w:rFonts w:ascii="Calibri" w:eastAsia="Calibri" w:hAnsi="Calibri" w:cs="Calibri"/>
                <w:b/>
                <w:bCs/>
              </w:rPr>
            </w:pPr>
            <w:proofErr w:type="gramStart"/>
            <w:r>
              <w:rPr>
                <w:rFonts w:ascii="Calibri" w:eastAsia="Calibri" w:hAnsi="Calibri" w:cs="Calibri"/>
              </w:rPr>
              <w:t>l</w:t>
            </w:r>
            <w:r w:rsidR="00A6771E">
              <w:rPr>
                <w:rFonts w:ascii="Calibri" w:eastAsia="Calibri" w:hAnsi="Calibri" w:cs="Calibri"/>
              </w:rPr>
              <w:t>e</w:t>
            </w:r>
            <w:proofErr w:type="gramEnd"/>
            <w:r>
              <w:rPr>
                <w:rFonts w:ascii="Calibri" w:eastAsia="Calibri" w:hAnsi="Calibri" w:cs="Calibri"/>
              </w:rPr>
              <w:t xml:space="preserve"> not</w:t>
            </w:r>
            <w:r w:rsidR="00A6771E">
              <w:rPr>
                <w:rFonts w:ascii="Calibri" w:eastAsia="Calibri" w:hAnsi="Calibri" w:cs="Calibri"/>
              </w:rPr>
              <w:t>e</w:t>
            </w:r>
            <w:r w:rsidR="00CD295A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presentat</w:t>
            </w:r>
            <w:r w:rsidR="00451E8F">
              <w:rPr>
                <w:rFonts w:ascii="Calibri" w:eastAsia="Calibri" w:hAnsi="Calibri" w:cs="Calibri"/>
              </w:rPr>
              <w:t>e dall’Ufficio Tecnico di Fuorigrotta</w:t>
            </w:r>
            <w:r w:rsidR="00CA7701">
              <w:rPr>
                <w:rFonts w:ascii="Calibri" w:eastAsia="Calibri" w:hAnsi="Calibri" w:cs="Calibri"/>
              </w:rPr>
              <w:t xml:space="preserve"> per migliorare la qualità e la sicurezza dei servizi offerti</w:t>
            </w:r>
            <w:r w:rsidR="00D35790">
              <w:rPr>
                <w:rFonts w:ascii="Calibri" w:eastAsia="Calibri" w:hAnsi="Calibri" w:cs="Calibri"/>
              </w:rPr>
              <w:t>;</w:t>
            </w:r>
          </w:p>
        </w:tc>
      </w:tr>
      <w:tr w:rsidR="00CD295A" w:rsidRPr="00735F8B" w:rsidTr="006D427F">
        <w:tc>
          <w:tcPr>
            <w:tcW w:w="1805" w:type="dxa"/>
            <w:gridSpan w:val="2"/>
            <w:shd w:val="clear" w:color="auto" w:fill="auto"/>
          </w:tcPr>
          <w:p w:rsidR="00CD295A" w:rsidRDefault="00CD295A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CD295A" w:rsidRPr="009A1927" w:rsidRDefault="00CD295A" w:rsidP="00451E8F">
            <w:pPr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 w:rsidRPr="002639E5">
              <w:rPr>
                <w:rFonts w:ascii="Calibri" w:eastAsia="Calibri" w:hAnsi="Calibri" w:cs="Calibri"/>
                <w:bCs/>
              </w:rPr>
              <w:t>pertanto</w:t>
            </w:r>
            <w:proofErr w:type="gramEnd"/>
            <w:r w:rsidRPr="002639E5">
              <w:rPr>
                <w:rFonts w:ascii="Calibri" w:eastAsia="Calibri" w:hAnsi="Calibri" w:cs="Calibri"/>
                <w:bCs/>
              </w:rPr>
              <w:t xml:space="preserve">, della necessità di affidare </w:t>
            </w:r>
            <w:r w:rsidR="00D35790">
              <w:rPr>
                <w:rFonts w:ascii="Calibri" w:eastAsia="Calibri" w:hAnsi="Calibri" w:cs="Calibri"/>
                <w:bCs/>
              </w:rPr>
              <w:t>l</w:t>
            </w:r>
            <w:r w:rsidR="005C3A6D">
              <w:rPr>
                <w:rFonts w:ascii="Calibri" w:eastAsia="Calibri" w:hAnsi="Calibri" w:cs="Calibri"/>
                <w:bCs/>
              </w:rPr>
              <w:t>’esecuzione dei lavori di cui a</w:t>
            </w:r>
            <w:r w:rsidR="00451E8F">
              <w:rPr>
                <w:rFonts w:ascii="Calibri" w:eastAsia="Calibri" w:hAnsi="Calibri" w:cs="Calibri"/>
                <w:bCs/>
              </w:rPr>
              <w:t>l</w:t>
            </w:r>
            <w:r w:rsidR="005C3A6D">
              <w:rPr>
                <w:rFonts w:ascii="Calibri" w:eastAsia="Calibri" w:hAnsi="Calibri" w:cs="Calibri"/>
                <w:bCs/>
              </w:rPr>
              <w:t xml:space="preserve"> comput</w:t>
            </w:r>
            <w:r w:rsidR="00451E8F">
              <w:rPr>
                <w:rFonts w:ascii="Calibri" w:eastAsia="Calibri" w:hAnsi="Calibri" w:cs="Calibri"/>
                <w:bCs/>
              </w:rPr>
              <w:t>o</w:t>
            </w:r>
            <w:r w:rsidR="005C3A6D">
              <w:rPr>
                <w:rFonts w:ascii="Calibri" w:eastAsia="Calibri" w:hAnsi="Calibri" w:cs="Calibri"/>
                <w:bCs/>
              </w:rPr>
              <w:t xml:space="preserve"> metric</w:t>
            </w:r>
            <w:r w:rsidR="00451E8F">
              <w:rPr>
                <w:rFonts w:ascii="Calibri" w:eastAsia="Calibri" w:hAnsi="Calibri" w:cs="Calibri"/>
                <w:bCs/>
              </w:rPr>
              <w:t>o</w:t>
            </w:r>
            <w:r w:rsidR="00D35790">
              <w:rPr>
                <w:rFonts w:ascii="Calibri" w:eastAsia="Calibri" w:hAnsi="Calibri" w:cs="Calibri"/>
                <w:bCs/>
              </w:rPr>
              <w:t>;</w:t>
            </w:r>
          </w:p>
        </w:tc>
      </w:tr>
      <w:tr w:rsidR="00CD295A" w:rsidRPr="00735F8B" w:rsidTr="006D427F">
        <w:tc>
          <w:tcPr>
            <w:tcW w:w="1805" w:type="dxa"/>
            <w:gridSpan w:val="2"/>
            <w:shd w:val="clear" w:color="auto" w:fill="auto"/>
          </w:tcPr>
          <w:p w:rsidR="00CD295A" w:rsidRDefault="00CD295A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CD295A" w:rsidRPr="002639E5" w:rsidRDefault="00433D29" w:rsidP="00451E8F">
            <w:pPr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del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 fatto </w:t>
            </w:r>
            <w:r w:rsidR="00CD295A" w:rsidRPr="002639E5">
              <w:rPr>
                <w:rFonts w:ascii="Calibri" w:eastAsia="Calibri" w:hAnsi="Calibri" w:cs="Calibri"/>
                <w:bCs/>
              </w:rPr>
              <w:t>che l’affidamento in oggetto è finalizzato a</w:t>
            </w:r>
            <w:r w:rsidR="00384AB2">
              <w:rPr>
                <w:rFonts w:ascii="Calibri" w:eastAsia="Calibri" w:hAnsi="Calibri" w:cs="Calibri"/>
                <w:bCs/>
              </w:rPr>
              <w:t xml:space="preserve">d una </w:t>
            </w:r>
            <w:r w:rsidR="00451E8F">
              <w:rPr>
                <w:rFonts w:ascii="Calibri" w:eastAsia="Calibri" w:hAnsi="Calibri" w:cs="Calibri"/>
                <w:bCs/>
              </w:rPr>
              <w:t xml:space="preserve">maggiore sicurezza </w:t>
            </w:r>
            <w:r w:rsidR="00384AB2">
              <w:rPr>
                <w:rFonts w:ascii="Calibri" w:eastAsia="Calibri" w:hAnsi="Calibri" w:cs="Calibri"/>
                <w:bCs/>
              </w:rPr>
              <w:t xml:space="preserve"> degli spazi relativi all’attività didattica del </w:t>
            </w:r>
            <w:proofErr w:type="spellStart"/>
            <w:r w:rsidR="00384AB2">
              <w:rPr>
                <w:rFonts w:ascii="Calibri" w:eastAsia="Calibri" w:hAnsi="Calibri" w:cs="Calibri"/>
                <w:bCs/>
              </w:rPr>
              <w:t>Dicea</w:t>
            </w:r>
            <w:proofErr w:type="spellEnd"/>
            <w:r w:rsidR="00384AB2">
              <w:rPr>
                <w:rFonts w:ascii="Calibri" w:eastAsia="Calibri" w:hAnsi="Calibri" w:cs="Calibri"/>
                <w:bCs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DATO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AD16F0">
            <w:pPr>
              <w:ind w:left="-57"/>
              <w:jc w:val="both"/>
              <w:rPr>
                <w:rFonts w:eastAsia="Calibri" w:cstheme="minorHAnsi"/>
              </w:rPr>
            </w:pPr>
            <w:proofErr w:type="gramStart"/>
            <w:r w:rsidRPr="00735F8B">
              <w:rPr>
                <w:rFonts w:eastAsia="Calibri" w:cstheme="minorHAnsi"/>
              </w:rPr>
              <w:t>della</w:t>
            </w:r>
            <w:proofErr w:type="gramEnd"/>
            <w:r w:rsidRPr="00735F8B">
              <w:rPr>
                <w:rFonts w:eastAsia="Calibri" w:cstheme="minorHAnsi"/>
              </w:rPr>
              <w:t xml:space="preserve"> non esistenza di Convenzioni </w:t>
            </w:r>
            <w:proofErr w:type="spellStart"/>
            <w:r w:rsidRPr="00735F8B">
              <w:rPr>
                <w:rFonts w:eastAsia="Calibri" w:cstheme="minorHAnsi"/>
              </w:rPr>
              <w:t>Consip</w:t>
            </w:r>
            <w:proofErr w:type="spellEnd"/>
            <w:r w:rsidRPr="00735F8B">
              <w:rPr>
                <w:rFonts w:eastAsia="Calibri" w:cstheme="minorHAnsi"/>
              </w:rPr>
              <w:t xml:space="preserve"> attive in merito a tale merceologia</w:t>
            </w:r>
            <w:r w:rsidR="00AA0666">
              <w:rPr>
                <w:rFonts w:eastAsia="Calibri" w:cstheme="minorHAnsi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VERIFICATO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433D29" w:rsidP="005C3A6D">
            <w:pPr>
              <w:ind w:left="-57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a</w:t>
            </w:r>
            <w:proofErr w:type="gramEnd"/>
            <w:r w:rsidR="00CD295A">
              <w:rPr>
                <w:rFonts w:eastAsia="Calibri" w:cstheme="minorHAnsi"/>
              </w:rPr>
              <w:t xml:space="preserve"> cura del Responsabile del Procedimento</w:t>
            </w:r>
            <w:r>
              <w:rPr>
                <w:rFonts w:eastAsia="Calibri" w:cstheme="minorHAnsi"/>
              </w:rPr>
              <w:t>,</w:t>
            </w:r>
            <w:r w:rsidR="00CD295A">
              <w:rPr>
                <w:rFonts w:eastAsia="Calibri" w:cstheme="minorHAnsi"/>
              </w:rPr>
              <w:t xml:space="preserve"> che </w:t>
            </w:r>
            <w:r w:rsidR="005C3A6D">
              <w:rPr>
                <w:rFonts w:eastAsia="Calibri" w:cstheme="minorHAnsi"/>
              </w:rPr>
              <w:t xml:space="preserve">in servizio non </w:t>
            </w:r>
            <w:r w:rsidR="009D7A5F" w:rsidRPr="00735F8B">
              <w:rPr>
                <w:rFonts w:eastAsia="Calibri" w:cstheme="minorHAnsi"/>
              </w:rPr>
              <w:t>è presente sul ME</w:t>
            </w:r>
            <w:r>
              <w:rPr>
                <w:rFonts w:eastAsia="Calibri" w:cstheme="minorHAnsi"/>
              </w:rPr>
              <w:t>.</w:t>
            </w:r>
            <w:r w:rsidR="009D7A5F" w:rsidRPr="00735F8B">
              <w:rPr>
                <w:rFonts w:eastAsia="Calibri" w:cstheme="minorHAnsi"/>
              </w:rPr>
              <w:t>PA</w:t>
            </w:r>
            <w:r>
              <w:rPr>
                <w:rFonts w:eastAsia="Calibri" w:cstheme="minorHAnsi"/>
              </w:rPr>
              <w:t>.</w:t>
            </w:r>
            <w:r w:rsidR="00CD295A">
              <w:rPr>
                <w:rFonts w:eastAsia="Calibri" w:cstheme="minorHAnsi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4156D7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 xml:space="preserve">TENUTO CONTO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4156D7" w:rsidRDefault="00433D29" w:rsidP="004156D7">
            <w:pPr>
              <w:ind w:left="-57"/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d</w:t>
            </w:r>
            <w:r w:rsidR="00CD295A">
              <w:rPr>
                <w:rFonts w:eastAsia="Calibri" w:cstheme="minorHAnsi"/>
              </w:rPr>
              <w:t>el</w:t>
            </w:r>
            <w:proofErr w:type="gramEnd"/>
            <w:r w:rsidR="00CD295A">
              <w:rPr>
                <w:rFonts w:eastAsia="Calibri" w:cstheme="minorHAnsi"/>
              </w:rPr>
              <w:t xml:space="preserve"> fatto </w:t>
            </w:r>
            <w:r w:rsidR="00CD295A" w:rsidRPr="00735F8B">
              <w:rPr>
                <w:rFonts w:eastAsia="Calibri" w:cstheme="minorHAnsi"/>
              </w:rPr>
              <w:t xml:space="preserve">che </w:t>
            </w:r>
            <w:r w:rsidR="00CD295A">
              <w:rPr>
                <w:rFonts w:eastAsia="Calibri" w:cstheme="minorHAnsi"/>
              </w:rPr>
              <w:t>il predetto Responsabile del procedimento</w:t>
            </w:r>
            <w:r w:rsidR="004156D7">
              <w:rPr>
                <w:rFonts w:eastAsia="Calibri" w:cstheme="minorHAnsi"/>
              </w:rPr>
              <w:t xml:space="preserve"> - </w:t>
            </w:r>
            <w:r w:rsidR="00CD295A">
              <w:rPr>
                <w:rFonts w:eastAsia="Calibri" w:cstheme="minorHAnsi"/>
              </w:rPr>
              <w:t>ha</w:t>
            </w:r>
            <w:r w:rsidR="004156D7">
              <w:rPr>
                <w:rFonts w:eastAsia="Calibri" w:cstheme="minorHAnsi"/>
              </w:rPr>
              <w:t>:</w:t>
            </w:r>
          </w:p>
          <w:p w:rsidR="00AA75AE" w:rsidRDefault="00433D29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r</w:t>
            </w:r>
            <w:r w:rsidR="00AA75AE">
              <w:rPr>
                <w:rFonts w:eastAsia="Calibri" w:cstheme="minorHAnsi"/>
              </w:rPr>
              <w:t>appresentato</w:t>
            </w:r>
            <w:proofErr w:type="gramEnd"/>
            <w:r w:rsidR="00AA75AE">
              <w:rPr>
                <w:rFonts w:eastAsia="Calibri" w:cstheme="minorHAnsi"/>
              </w:rPr>
              <w:t xml:space="preserve"> che, a seguito di indagine di mercato condotta mediante </w:t>
            </w:r>
            <w:r w:rsidR="00AA75AE" w:rsidRPr="00735F8B">
              <w:rPr>
                <w:rFonts w:cstheme="minorHAnsi"/>
              </w:rPr>
              <w:t xml:space="preserve">consultazione di elenchi sul portale </w:t>
            </w:r>
            <w:proofErr w:type="spellStart"/>
            <w:r w:rsidR="00AA75AE" w:rsidRPr="00735F8B">
              <w:rPr>
                <w:rFonts w:cstheme="minorHAnsi"/>
              </w:rPr>
              <w:t>Consip</w:t>
            </w:r>
            <w:proofErr w:type="spellEnd"/>
            <w:r w:rsidR="00AA75AE" w:rsidRPr="00735F8B">
              <w:rPr>
                <w:rFonts w:cstheme="minorHAnsi"/>
              </w:rPr>
              <w:t xml:space="preserve"> </w:t>
            </w:r>
            <w:proofErr w:type="spellStart"/>
            <w:r w:rsidR="00AA75AE" w:rsidRPr="00735F8B">
              <w:rPr>
                <w:rFonts w:cstheme="minorHAnsi"/>
              </w:rPr>
              <w:t>Acquistinretepa</w:t>
            </w:r>
            <w:proofErr w:type="spellEnd"/>
            <w:r w:rsidR="00AA75AE" w:rsidRPr="00735F8B">
              <w:rPr>
                <w:rFonts w:cstheme="minorHAnsi"/>
              </w:rPr>
              <w:t>,</w:t>
            </w:r>
            <w:r w:rsidR="00AA75AE" w:rsidRPr="00735F8B">
              <w:rPr>
                <w:rFonts w:cstheme="minorHAnsi"/>
                <w:i/>
              </w:rPr>
              <w:t xml:space="preserve"> le forniture]</w:t>
            </w:r>
            <w:r w:rsidR="0078662A">
              <w:rPr>
                <w:rFonts w:cstheme="minorHAnsi"/>
              </w:rPr>
              <w:t xml:space="preserve"> rispondenti ai fabbisogni del </w:t>
            </w:r>
            <w:proofErr w:type="spellStart"/>
            <w:r w:rsidR="0078662A">
              <w:rPr>
                <w:rFonts w:cstheme="minorHAnsi"/>
              </w:rPr>
              <w:t>Dicea</w:t>
            </w:r>
            <w:proofErr w:type="spellEnd"/>
            <w:r w:rsidR="0078662A">
              <w:rPr>
                <w:rFonts w:cstheme="minorHAnsi"/>
              </w:rPr>
              <w:t xml:space="preserve"> non</w:t>
            </w:r>
            <w:r w:rsidR="00AA75AE" w:rsidRPr="00735F8B">
              <w:rPr>
                <w:rFonts w:cstheme="minorHAnsi"/>
              </w:rPr>
              <w:t xml:space="preserve"> sono </w:t>
            </w:r>
            <w:r w:rsidR="00AA75AE">
              <w:rPr>
                <w:rFonts w:cstheme="minorHAnsi"/>
              </w:rPr>
              <w:t>offerti</w:t>
            </w:r>
            <w:r w:rsidR="0078662A">
              <w:rPr>
                <w:rFonts w:cstheme="minorHAnsi"/>
              </w:rPr>
              <w:t>;</w:t>
            </w:r>
          </w:p>
          <w:p w:rsidR="009D7A5F" w:rsidRDefault="00CD295A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proofErr w:type="gramStart"/>
            <w:r w:rsidRPr="004156D7">
              <w:rPr>
                <w:rFonts w:eastAsia="Calibri" w:cstheme="minorHAnsi"/>
              </w:rPr>
              <w:t>proposto</w:t>
            </w:r>
            <w:proofErr w:type="gramEnd"/>
            <w:r w:rsidRPr="004156D7">
              <w:rPr>
                <w:rFonts w:eastAsia="Calibri" w:cstheme="minorHAnsi"/>
              </w:rPr>
              <w:t xml:space="preserve"> di procedere all’acquisizione in discorso</w:t>
            </w:r>
            <w:r w:rsidR="00CC4392">
              <w:rPr>
                <w:rFonts w:eastAsia="Calibri" w:cstheme="minorHAnsi"/>
              </w:rPr>
              <w:t xml:space="preserve">, rientrante nell’ambito di applicazione </w:t>
            </w:r>
            <w:r w:rsidR="00B22373">
              <w:rPr>
                <w:rFonts w:eastAsia="Calibri" w:cstheme="minorHAnsi"/>
              </w:rPr>
              <w:t>d</w:t>
            </w:r>
            <w:r w:rsidR="002915C4">
              <w:rPr>
                <w:rFonts w:eastAsia="Calibri" w:cstheme="minorHAnsi"/>
              </w:rPr>
              <w:t>e</w:t>
            </w:r>
            <w:r w:rsidRPr="004156D7">
              <w:rPr>
                <w:rFonts w:eastAsia="Calibri" w:cstheme="minorHAnsi"/>
              </w:rPr>
              <w:t xml:space="preserve">ll’articolo 36 comma 2 lettera </w:t>
            </w:r>
            <w:r w:rsidR="00B22373">
              <w:rPr>
                <w:rFonts w:eastAsia="Calibri" w:cstheme="minorHAnsi"/>
              </w:rPr>
              <w:t>a</w:t>
            </w:r>
            <w:r w:rsidRPr="004156D7">
              <w:rPr>
                <w:rFonts w:eastAsia="Calibri" w:cstheme="minorHAnsi"/>
              </w:rPr>
              <w:t>)</w:t>
            </w:r>
            <w:r w:rsidR="00B22373">
              <w:rPr>
                <w:rFonts w:eastAsia="Calibri" w:cstheme="minorHAnsi"/>
              </w:rPr>
              <w:t>,</w:t>
            </w:r>
            <w:r w:rsidRPr="004156D7">
              <w:rPr>
                <w:rFonts w:eastAsia="Calibri" w:cstheme="minorHAnsi"/>
                <w:i/>
              </w:rPr>
              <w:t xml:space="preserve"> </w:t>
            </w:r>
            <w:r w:rsidR="004156D7" w:rsidRPr="004156D7">
              <w:rPr>
                <w:rFonts w:eastAsia="Calibri" w:cstheme="minorHAnsi"/>
              </w:rPr>
              <w:t xml:space="preserve"> mediante </w:t>
            </w:r>
            <w:r w:rsidR="002915C4">
              <w:rPr>
                <w:rFonts w:eastAsia="Calibri" w:cstheme="minorHAnsi"/>
              </w:rPr>
              <w:t xml:space="preserve">procedura negoziata da svolgersi tramite </w:t>
            </w:r>
            <w:r w:rsidR="005C3A6D">
              <w:rPr>
                <w:rFonts w:eastAsia="Calibri" w:cstheme="minorHAnsi"/>
              </w:rPr>
              <w:t>invio a mezzo</w:t>
            </w:r>
            <w:r w:rsidR="001D3E57">
              <w:rPr>
                <w:rFonts w:eastAsia="Calibri" w:cstheme="minorHAnsi"/>
              </w:rPr>
              <w:t xml:space="preserve"> </w:t>
            </w:r>
            <w:proofErr w:type="spellStart"/>
            <w:r w:rsidR="001D3E57">
              <w:rPr>
                <w:rFonts w:eastAsia="Calibri" w:cstheme="minorHAnsi"/>
              </w:rPr>
              <w:t>RdO</w:t>
            </w:r>
            <w:proofErr w:type="spellEnd"/>
            <w:r w:rsidR="001D3E57">
              <w:rPr>
                <w:rFonts w:eastAsia="Calibri" w:cstheme="minorHAnsi"/>
              </w:rPr>
              <w:t xml:space="preserve"> pubblicato in </w:t>
            </w:r>
            <w:proofErr w:type="spellStart"/>
            <w:r w:rsidR="001D3E57">
              <w:rPr>
                <w:rFonts w:eastAsia="Calibri" w:cstheme="minorHAnsi"/>
              </w:rPr>
              <w:t>Me.Pa</w:t>
            </w:r>
            <w:proofErr w:type="spellEnd"/>
            <w:r w:rsidR="001D3E57">
              <w:rPr>
                <w:rFonts w:eastAsia="Calibri" w:cstheme="minorHAnsi"/>
              </w:rPr>
              <w:t xml:space="preserve">. </w:t>
            </w:r>
            <w:proofErr w:type="gramStart"/>
            <w:r w:rsidR="001D3E57">
              <w:rPr>
                <w:rFonts w:eastAsia="Calibri" w:cstheme="minorHAnsi"/>
              </w:rPr>
              <w:t xml:space="preserve">inviato </w:t>
            </w:r>
            <w:r w:rsidRPr="004156D7">
              <w:rPr>
                <w:rFonts w:eastAsia="Calibri" w:cstheme="minorHAnsi"/>
              </w:rPr>
              <w:t xml:space="preserve"> </w:t>
            </w:r>
            <w:r w:rsidR="00EC10E1">
              <w:rPr>
                <w:rFonts w:eastAsia="Calibri" w:cstheme="minorHAnsi"/>
              </w:rPr>
              <w:t>a</w:t>
            </w:r>
            <w:proofErr w:type="gramEnd"/>
            <w:r w:rsidR="00EC10E1">
              <w:rPr>
                <w:rFonts w:eastAsia="Calibri" w:cstheme="minorHAnsi"/>
              </w:rPr>
              <w:t xml:space="preserve"> cinque ditte specializzate </w:t>
            </w:r>
            <w:r w:rsidRPr="004156D7">
              <w:rPr>
                <w:rFonts w:eastAsia="Calibri" w:cstheme="minorHAnsi"/>
              </w:rPr>
              <w:t>;</w:t>
            </w:r>
          </w:p>
          <w:p w:rsidR="004156D7" w:rsidRDefault="004156D7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stimato</w:t>
            </w:r>
            <w:proofErr w:type="gramEnd"/>
            <w:r>
              <w:rPr>
                <w:rFonts w:eastAsia="Calibri" w:cstheme="minorHAnsi"/>
              </w:rPr>
              <w:t xml:space="preserve"> l’importo da porre a base d’asta in euro</w:t>
            </w:r>
            <w:r w:rsidR="00C844DE">
              <w:rPr>
                <w:rFonts w:eastAsia="Calibri" w:cstheme="minorHAnsi"/>
              </w:rPr>
              <w:t xml:space="preserve"> </w:t>
            </w:r>
            <w:r w:rsidR="00EC10E1">
              <w:rPr>
                <w:rFonts w:eastAsia="Calibri" w:cstheme="minorHAnsi"/>
              </w:rPr>
              <w:t>3</w:t>
            </w:r>
            <w:r w:rsidR="001D3E57">
              <w:rPr>
                <w:rFonts w:eastAsia="Calibri" w:cstheme="minorHAnsi"/>
              </w:rPr>
              <w:t>9</w:t>
            </w:r>
            <w:r w:rsidR="00C844DE">
              <w:rPr>
                <w:rFonts w:eastAsia="Calibri" w:cstheme="minorHAnsi"/>
              </w:rPr>
              <w:t>.</w:t>
            </w:r>
            <w:r w:rsidR="001D3E57">
              <w:rPr>
                <w:rFonts w:eastAsia="Calibri" w:cstheme="minorHAnsi"/>
              </w:rPr>
              <w:t>855</w:t>
            </w:r>
            <w:r w:rsidR="00C844DE">
              <w:rPr>
                <w:rFonts w:eastAsia="Calibri" w:cstheme="minorHAnsi"/>
              </w:rPr>
              <w:t>,</w:t>
            </w:r>
            <w:r w:rsidR="001D3E57">
              <w:rPr>
                <w:rFonts w:eastAsia="Calibri" w:cstheme="minorHAnsi"/>
              </w:rPr>
              <w:t>15</w:t>
            </w:r>
            <w:r w:rsidR="00C844DE">
              <w:rPr>
                <w:rFonts w:eastAsia="Calibri" w:cstheme="minorHAnsi"/>
              </w:rPr>
              <w:t xml:space="preserve"> (</w:t>
            </w:r>
            <w:proofErr w:type="spellStart"/>
            <w:r w:rsidR="00EC10E1">
              <w:rPr>
                <w:rFonts w:eastAsia="Calibri" w:cstheme="minorHAnsi"/>
              </w:rPr>
              <w:t>trenta</w:t>
            </w:r>
            <w:r w:rsidR="001D3E57">
              <w:rPr>
                <w:rFonts w:eastAsia="Calibri" w:cstheme="minorHAnsi"/>
              </w:rPr>
              <w:t>novemilaottocentocinquantacinque</w:t>
            </w:r>
            <w:proofErr w:type="spellEnd"/>
            <w:r w:rsidR="00C844DE">
              <w:rPr>
                <w:rFonts w:eastAsia="Calibri" w:cstheme="minorHAnsi"/>
              </w:rPr>
              <w:t>/</w:t>
            </w:r>
            <w:r w:rsidR="00854DCE">
              <w:rPr>
                <w:rFonts w:eastAsia="Calibri" w:cstheme="minorHAnsi"/>
              </w:rPr>
              <w:t>15</w:t>
            </w:r>
            <w:r w:rsidR="00C844DE">
              <w:rPr>
                <w:rFonts w:eastAsia="Calibri" w:cstheme="minorHAnsi"/>
              </w:rPr>
              <w:t>)</w:t>
            </w:r>
            <w:r>
              <w:rPr>
                <w:rFonts w:eastAsia="Calibri" w:cstheme="minorHAnsi"/>
              </w:rPr>
              <w:t>, oltr</w:t>
            </w:r>
            <w:r w:rsidR="00FD708F">
              <w:rPr>
                <w:rFonts w:eastAsia="Calibri" w:cstheme="minorHAnsi"/>
              </w:rPr>
              <w:t>e IVA come per legge;</w:t>
            </w:r>
            <w:r>
              <w:rPr>
                <w:rFonts w:eastAsia="Calibri" w:cstheme="minorHAnsi"/>
              </w:rPr>
              <w:t>;</w:t>
            </w:r>
          </w:p>
          <w:p w:rsidR="00114E49" w:rsidRDefault="00114E49" w:rsidP="004156D7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indicato</w:t>
            </w:r>
            <w:proofErr w:type="gramEnd"/>
            <w:r>
              <w:rPr>
                <w:rFonts w:eastAsia="Calibri" w:cstheme="minorHAnsi"/>
              </w:rPr>
              <w:t xml:space="preserve"> una durata contrattuale pari a </w:t>
            </w:r>
            <w:r w:rsidR="00FD708F">
              <w:rPr>
                <w:rFonts w:eastAsia="Calibri" w:cstheme="minorHAnsi"/>
              </w:rPr>
              <w:t xml:space="preserve"> </w:t>
            </w:r>
            <w:r w:rsidR="00854DCE">
              <w:rPr>
                <w:rFonts w:eastAsia="Calibri" w:cstheme="minorHAnsi"/>
              </w:rPr>
              <w:t>sessanta giorni</w:t>
            </w:r>
            <w:r>
              <w:rPr>
                <w:rFonts w:eastAsia="Calibri" w:cstheme="minorHAnsi"/>
              </w:rPr>
              <w:t>;</w:t>
            </w:r>
          </w:p>
          <w:p w:rsidR="004156D7" w:rsidRPr="004156D7" w:rsidRDefault="004156D7" w:rsidP="00854DCE">
            <w:pPr>
              <w:pStyle w:val="Paragrafoelenco"/>
              <w:ind w:left="303"/>
              <w:jc w:val="both"/>
              <w:rPr>
                <w:rFonts w:eastAsia="Calibri" w:cstheme="minorHAnsi"/>
              </w:rPr>
            </w:pPr>
          </w:p>
          <w:p w:rsidR="008F2926" w:rsidRPr="00EB623D" w:rsidRDefault="004D3964" w:rsidP="00854DC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eastAsia="Calibri" w:cstheme="minorHAnsi"/>
                <w:i/>
              </w:rPr>
            </w:pPr>
            <w:proofErr w:type="gramStart"/>
            <w:r>
              <w:rPr>
                <w:rFonts w:eastAsia="Calibri" w:cstheme="minorHAnsi"/>
              </w:rPr>
              <w:lastRenderedPageBreak/>
              <w:t>r</w:t>
            </w:r>
            <w:r w:rsidR="00EF3482">
              <w:rPr>
                <w:rFonts w:eastAsia="Calibri" w:cstheme="minorHAnsi"/>
              </w:rPr>
              <w:t>itenuto</w:t>
            </w:r>
            <w:proofErr w:type="gramEnd"/>
            <w:r w:rsidR="00EF3482">
              <w:rPr>
                <w:rFonts w:eastAsia="Calibri" w:cstheme="minorHAnsi"/>
              </w:rPr>
              <w:t xml:space="preserve"> opportuno </w:t>
            </w:r>
            <w:r w:rsidR="00114E49">
              <w:rPr>
                <w:rFonts w:eastAsia="Calibri" w:cstheme="minorHAnsi"/>
              </w:rPr>
              <w:t xml:space="preserve">– consultato il catalogo disponibile </w:t>
            </w:r>
            <w:r w:rsidR="00BC1981">
              <w:rPr>
                <w:rFonts w:eastAsia="Calibri" w:cstheme="minorHAnsi"/>
              </w:rPr>
              <w:t>–</w:t>
            </w:r>
            <w:r w:rsidR="00CA7D94">
              <w:rPr>
                <w:rFonts w:eastAsia="Calibri" w:cstheme="minorHAnsi"/>
              </w:rPr>
              <w:t xml:space="preserve"> </w:t>
            </w:r>
            <w:r w:rsidR="00BC1981">
              <w:rPr>
                <w:rFonts w:eastAsia="Calibri" w:cstheme="minorHAnsi"/>
              </w:rPr>
              <w:t>verificato che l’importo è inferiore</w:t>
            </w:r>
            <w:r w:rsidR="00114E49">
              <w:rPr>
                <w:rFonts w:eastAsia="Calibri" w:cstheme="minorHAnsi"/>
                <w:i/>
              </w:rPr>
              <w:t xml:space="preserve"> ad euro </w:t>
            </w:r>
            <w:r w:rsidR="003C182B">
              <w:rPr>
                <w:rFonts w:eastAsia="Calibri" w:cstheme="minorHAnsi"/>
                <w:i/>
              </w:rPr>
              <w:t>40.000</w:t>
            </w:r>
            <w:r w:rsidR="00114E49">
              <w:rPr>
                <w:rFonts w:eastAsia="Calibri" w:cstheme="minorHAnsi"/>
                <w:i/>
              </w:rPr>
              <w:t xml:space="preserve">, </w:t>
            </w:r>
            <w:r w:rsidR="008F2926">
              <w:rPr>
                <w:rFonts w:eastAsia="Calibri" w:cstheme="minorHAnsi"/>
                <w:i/>
              </w:rPr>
              <w:t xml:space="preserve">invitare </w:t>
            </w:r>
            <w:r w:rsidR="00AC767D">
              <w:rPr>
                <w:rFonts w:eastAsia="Calibri" w:cstheme="minorHAnsi"/>
                <w:i/>
              </w:rPr>
              <w:t xml:space="preserve"> n. </w:t>
            </w:r>
            <w:r w:rsidR="00A726FF">
              <w:rPr>
                <w:rFonts w:eastAsia="Calibri" w:cstheme="minorHAnsi"/>
                <w:i/>
              </w:rPr>
              <w:t xml:space="preserve">05 </w:t>
            </w:r>
            <w:r w:rsidR="00AC767D">
              <w:rPr>
                <w:rFonts w:eastAsia="Calibri" w:cstheme="minorHAnsi"/>
                <w:i/>
              </w:rPr>
              <w:t xml:space="preserve"> operatori economici</w:t>
            </w:r>
            <w:r w:rsidR="008F2926">
              <w:rPr>
                <w:rFonts w:eastAsia="Calibri" w:cstheme="minorHAnsi"/>
                <w:i/>
              </w:rPr>
              <w:t xml:space="preserve"> </w:t>
            </w:r>
            <w:r w:rsidR="00A726FF">
              <w:rPr>
                <w:rFonts w:eastAsia="Calibri" w:cstheme="minorHAnsi"/>
                <w:i/>
              </w:rPr>
              <w:t>specializzati</w:t>
            </w:r>
            <w:r w:rsidR="00AC767D">
              <w:rPr>
                <w:rFonts w:eastAsia="Calibri" w:cstheme="minorHAnsi"/>
                <w:i/>
              </w:rPr>
              <w:t xml:space="preserve">, tutti </w:t>
            </w:r>
            <w:r w:rsidR="00114E49">
              <w:rPr>
                <w:rFonts w:eastAsia="Calibri" w:cstheme="minorHAnsi"/>
                <w:i/>
              </w:rPr>
              <w:t>rispondenti ai criteri di selezione richiesti</w:t>
            </w:r>
            <w:r w:rsidR="00541A4F">
              <w:rPr>
                <w:rFonts w:eastAsia="Calibri" w:cstheme="minorHAnsi"/>
                <w:i/>
              </w:rPr>
              <w:t xml:space="preserve">, opportunamente </w:t>
            </w:r>
            <w:r w:rsidR="00854DCE">
              <w:rPr>
                <w:rFonts w:eastAsia="Calibri" w:cstheme="minorHAnsi"/>
                <w:i/>
              </w:rPr>
              <w:t xml:space="preserve">indicati dall’Ufficio Tecnico di </w:t>
            </w:r>
            <w:proofErr w:type="spellStart"/>
            <w:r w:rsidR="00854DCE">
              <w:rPr>
                <w:rFonts w:eastAsia="Calibri" w:cstheme="minorHAnsi"/>
                <w:i/>
              </w:rPr>
              <w:t>Fuorigrotta</w:t>
            </w:r>
            <w:r w:rsidR="00541A4F">
              <w:rPr>
                <w:rFonts w:eastAsia="Calibri" w:cstheme="minorHAnsi"/>
                <w:i/>
              </w:rPr>
              <w:t>I</w:t>
            </w:r>
            <w:proofErr w:type="spellEnd"/>
            <w:r w:rsidR="00AC767D">
              <w:rPr>
                <w:rFonts w:eastAsia="Calibri" w:cstheme="minorHAnsi"/>
                <w:i/>
              </w:rPr>
              <w:t>;</w:t>
            </w:r>
          </w:p>
        </w:tc>
      </w:tr>
      <w:tr w:rsidR="009D7A5F" w:rsidRPr="00735F8B" w:rsidTr="006D427F">
        <w:trPr>
          <w:gridAfter w:val="1"/>
          <w:wAfter w:w="107" w:type="dxa"/>
        </w:trPr>
        <w:tc>
          <w:tcPr>
            <w:tcW w:w="1805" w:type="dxa"/>
            <w:gridSpan w:val="2"/>
            <w:shd w:val="clear" w:color="auto" w:fill="auto"/>
          </w:tcPr>
          <w:p w:rsidR="009D7A5F" w:rsidRPr="004D3964" w:rsidRDefault="009D7A5F" w:rsidP="004156D7">
            <w:pPr>
              <w:spacing w:line="288" w:lineRule="exact"/>
              <w:jc w:val="both"/>
              <w:rPr>
                <w:rFonts w:cstheme="minorHAnsi"/>
                <w:b/>
                <w:highlight w:val="yellow"/>
              </w:rPr>
            </w:pPr>
            <w:r w:rsidRPr="00EB623D">
              <w:rPr>
                <w:rFonts w:cstheme="minorHAnsi"/>
                <w:b/>
              </w:rPr>
              <w:lastRenderedPageBreak/>
              <w:t>CONSIDERATO</w:t>
            </w:r>
          </w:p>
        </w:tc>
        <w:tc>
          <w:tcPr>
            <w:tcW w:w="7726" w:type="dxa"/>
            <w:shd w:val="clear" w:color="auto" w:fill="auto"/>
          </w:tcPr>
          <w:p w:rsidR="009D7A5F" w:rsidRPr="00735F8B" w:rsidRDefault="004D3964" w:rsidP="00675838">
            <w:pPr>
              <w:spacing w:line="288" w:lineRule="exact"/>
              <w:jc w:val="both"/>
              <w:rPr>
                <w:rFonts w:eastAsia="Times" w:cstheme="minorHAnsi"/>
                <w:color w:val="000000"/>
              </w:rPr>
            </w:pPr>
            <w:proofErr w:type="gramStart"/>
            <w:r>
              <w:rPr>
                <w:rFonts w:cstheme="minorHAnsi"/>
              </w:rPr>
              <w:t>c</w:t>
            </w:r>
            <w:r w:rsidR="009D7A5F" w:rsidRPr="00735F8B">
              <w:rPr>
                <w:rFonts w:cstheme="minorHAnsi"/>
              </w:rPr>
              <w:t>he</w:t>
            </w:r>
            <w:proofErr w:type="gramEnd"/>
            <w:r w:rsidR="005C2F39">
              <w:rPr>
                <w:rFonts w:cstheme="minorHAnsi"/>
              </w:rPr>
              <w:t>,</w:t>
            </w:r>
            <w:r w:rsidR="009D7A5F" w:rsidRPr="00735F8B">
              <w:rPr>
                <w:rFonts w:cstheme="minorHAnsi"/>
              </w:rPr>
              <w:t xml:space="preserve"> nel procedere agli inviti</w:t>
            </w:r>
            <w:r w:rsidR="005C2F39">
              <w:rPr>
                <w:rFonts w:cstheme="minorHAnsi"/>
              </w:rPr>
              <w:t>,</w:t>
            </w:r>
            <w:r w:rsidR="009D7A5F" w:rsidRPr="00735F8B">
              <w:rPr>
                <w:rFonts w:cstheme="minorHAnsi"/>
              </w:rPr>
              <w:t xml:space="preserve"> </w:t>
            </w:r>
            <w:r w:rsidR="00675838">
              <w:rPr>
                <w:rFonts w:cstheme="minorHAnsi"/>
              </w:rPr>
              <w:t>è stato</w:t>
            </w:r>
            <w:r w:rsidR="005C2F39">
              <w:rPr>
                <w:rFonts w:cstheme="minorHAnsi"/>
              </w:rPr>
              <w:t xml:space="preserve"> </w:t>
            </w:r>
            <w:r w:rsidR="009D7A5F" w:rsidRPr="00735F8B">
              <w:rPr>
                <w:rFonts w:cstheme="minorHAnsi"/>
              </w:rPr>
              <w:t>rispetta</w:t>
            </w:r>
            <w:r w:rsidR="005C2F39">
              <w:rPr>
                <w:rFonts w:cstheme="minorHAnsi"/>
              </w:rPr>
              <w:t>to</w:t>
            </w:r>
            <w:r w:rsidR="009D7A5F" w:rsidRPr="00735F8B">
              <w:rPr>
                <w:rFonts w:cstheme="minorHAnsi"/>
              </w:rPr>
              <w:t xml:space="preserve"> il principio di rotazione degli affidamenti</w:t>
            </w:r>
            <w:r w:rsidR="003C182B">
              <w:rPr>
                <w:rFonts w:cstheme="minorHAnsi"/>
              </w:rPr>
              <w:t>,</w:t>
            </w:r>
            <w:r w:rsidR="009D7A5F" w:rsidRPr="00735F8B">
              <w:rPr>
                <w:rFonts w:cstheme="minorHAnsi"/>
              </w:rPr>
              <w:t xml:space="preserve"> 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</w:p>
        </w:tc>
        <w:tc>
          <w:tcPr>
            <w:tcW w:w="7833" w:type="dxa"/>
            <w:gridSpan w:val="2"/>
            <w:shd w:val="clear" w:color="auto" w:fill="auto"/>
          </w:tcPr>
          <w:p w:rsidR="00501F5E" w:rsidRPr="00735F8B" w:rsidRDefault="004D3964" w:rsidP="00A726FF">
            <w:pPr>
              <w:ind w:left="-57"/>
              <w:jc w:val="both"/>
              <w:rPr>
                <w:rFonts w:eastAsia="Times" w:cstheme="minorHAnsi"/>
                <w:color w:val="000000"/>
              </w:rPr>
            </w:pPr>
            <w:proofErr w:type="gramStart"/>
            <w:r>
              <w:rPr>
                <w:rFonts w:eastAsia="Times" w:cstheme="minorHAnsi"/>
                <w:color w:val="000000"/>
              </w:rPr>
              <w:t>c</w:t>
            </w:r>
            <w:r w:rsidR="009D7A5F" w:rsidRPr="00735F8B">
              <w:rPr>
                <w:rFonts w:eastAsia="Times" w:cstheme="minorHAnsi"/>
                <w:color w:val="000000"/>
              </w:rPr>
              <w:t>he</w:t>
            </w:r>
            <w:proofErr w:type="gramEnd"/>
            <w:r>
              <w:rPr>
                <w:rFonts w:eastAsia="Times" w:cstheme="minorHAnsi"/>
                <w:color w:val="000000"/>
              </w:rPr>
              <w:t>,</w:t>
            </w:r>
            <w:r w:rsidR="009D7A5F" w:rsidRPr="00735F8B">
              <w:rPr>
                <w:rFonts w:eastAsia="Times" w:cstheme="minorHAnsi"/>
                <w:color w:val="000000"/>
              </w:rPr>
              <w:t xml:space="preserve"> per la suddetta procedura</w:t>
            </w:r>
            <w:r>
              <w:rPr>
                <w:rFonts w:eastAsia="Times" w:cstheme="minorHAnsi"/>
                <w:color w:val="000000"/>
              </w:rPr>
              <w:t>,</w:t>
            </w:r>
            <w:r w:rsidR="009D7A5F" w:rsidRPr="00735F8B">
              <w:rPr>
                <w:rFonts w:eastAsia="Times" w:cstheme="minorHAnsi"/>
                <w:color w:val="000000"/>
              </w:rPr>
              <w:t xml:space="preserve"> saranno interpellati </w:t>
            </w:r>
            <w:r w:rsidR="00674D02">
              <w:rPr>
                <w:rFonts w:eastAsia="Times" w:cstheme="minorHAnsi"/>
                <w:color w:val="000000"/>
              </w:rPr>
              <w:t>i seguenti operatori economici:</w:t>
            </w:r>
            <w:r w:rsidR="00675838">
              <w:rPr>
                <w:rFonts w:eastAsia="Times" w:cstheme="minorHAnsi"/>
                <w:color w:val="000000"/>
              </w:rPr>
              <w:t xml:space="preserve"> “Enea Impianti e Costruzioni di Diana Giovanni”, “</w:t>
            </w:r>
            <w:proofErr w:type="spellStart"/>
            <w:r w:rsidR="00675838">
              <w:rPr>
                <w:rFonts w:eastAsia="Times" w:cstheme="minorHAnsi"/>
                <w:color w:val="000000"/>
              </w:rPr>
              <w:t>Edilcostruzioni</w:t>
            </w:r>
            <w:proofErr w:type="spellEnd"/>
            <w:r w:rsidR="00675838">
              <w:rPr>
                <w:rFonts w:eastAsia="Times" w:cstheme="minorHAnsi"/>
                <w:color w:val="000000"/>
              </w:rPr>
              <w:t xml:space="preserve"> di R. Esposito”, </w:t>
            </w:r>
            <w:r w:rsidR="007B608C">
              <w:rPr>
                <w:rFonts w:eastAsia="Times" w:cstheme="minorHAnsi"/>
                <w:color w:val="000000"/>
              </w:rPr>
              <w:t>“Geom. Diana Vincenzo”, “Apicella Raffaele”, “Progetto sas di Vella Salvatore &amp; C.”</w:t>
            </w:r>
            <w:r w:rsidR="00674D02">
              <w:rPr>
                <w:rFonts w:eastAsia="Times" w:cstheme="minorHAnsi"/>
                <w:color w:val="000000"/>
              </w:rPr>
              <w:t xml:space="preserve"> </w:t>
            </w:r>
            <w:r w:rsidR="00501F5E">
              <w:rPr>
                <w:rFonts w:eastAsia="Times" w:cstheme="minorHAnsi"/>
                <w:color w:val="000000"/>
              </w:rPr>
              <w:t>;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5D23E8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CONSIDERATO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796655" w:rsidP="007B608C">
            <w:pPr>
              <w:jc w:val="both"/>
              <w:rPr>
                <w:rFonts w:eastAsia="Calibri" w:cstheme="minorHAnsi"/>
              </w:rPr>
            </w:pPr>
            <w:proofErr w:type="gramStart"/>
            <w:r>
              <w:rPr>
                <w:rFonts w:eastAsia="Calibri" w:cstheme="minorHAnsi"/>
              </w:rPr>
              <w:t>Che ,</w:t>
            </w:r>
            <w:proofErr w:type="gramEnd"/>
            <w:r>
              <w:rPr>
                <w:rFonts w:eastAsia="Calibri" w:cstheme="minorHAnsi"/>
              </w:rPr>
              <w:t xml:space="preserve"> pertanto</w:t>
            </w:r>
            <w:r w:rsidR="00351135">
              <w:rPr>
                <w:rFonts w:eastAsia="Calibri" w:cstheme="minorHAnsi"/>
              </w:rPr>
              <w:t xml:space="preserve"> viene rispettato il dettato degli </w:t>
            </w:r>
            <w:r>
              <w:rPr>
                <w:rFonts w:eastAsia="Calibri" w:cstheme="minorHAnsi"/>
              </w:rPr>
              <w:t>art</w:t>
            </w:r>
            <w:r w:rsidR="00351135">
              <w:rPr>
                <w:rFonts w:eastAsia="Calibri" w:cstheme="minorHAnsi"/>
              </w:rPr>
              <w:t>t</w:t>
            </w:r>
            <w:r>
              <w:rPr>
                <w:rFonts w:eastAsia="Calibri" w:cstheme="minorHAnsi"/>
              </w:rPr>
              <w:t xml:space="preserve">. </w:t>
            </w:r>
            <w:r w:rsidR="00351135">
              <w:rPr>
                <w:rFonts w:eastAsia="Calibri" w:cstheme="minorHAnsi"/>
              </w:rPr>
              <w:t>17 e 19  del “Regolamento di Ateneo, in materia di procedure per l’acquisizione di lavori sotto soglia” emanato con D.R. 2242 del 12/06/2017</w:t>
            </w:r>
            <w:r w:rsidR="00784EB9">
              <w:rPr>
                <w:rFonts w:eastAsia="Calibri" w:cstheme="minorHAnsi"/>
              </w:rPr>
              <w:t xml:space="preserve"> così come modificato dal D.R. 3284 del 11/09/2019;</w:t>
            </w:r>
            <w:r w:rsidR="005D23E8">
              <w:rPr>
                <w:rFonts w:eastAsia="Calibri" w:cstheme="minorHAnsi"/>
              </w:rPr>
              <w:t xml:space="preserve"> 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 xml:space="preserve">VISTO 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Pr="00735F8B" w:rsidRDefault="009D7A5F" w:rsidP="004156D7">
            <w:pPr>
              <w:ind w:left="-57"/>
              <w:jc w:val="both"/>
              <w:rPr>
                <w:rFonts w:eastAsia="Calibri" w:cstheme="minorHAnsi"/>
              </w:rPr>
            </w:pPr>
            <w:r w:rsidRPr="00735F8B">
              <w:rPr>
                <w:rFonts w:eastAsia="Calibri" w:cstheme="minorHAnsi"/>
              </w:rPr>
              <w:t>l’art. 1, comma 3, del Decreto - Legge n. 95/2012, convertito nella Legge n. 135/2012, ai sensi del quale «</w:t>
            </w:r>
            <w:r w:rsidRPr="00735F8B">
              <w:rPr>
                <w:rFonts w:eastAsia="Calibri" w:cstheme="minorHAnsi"/>
                <w:i/>
              </w:rPr>
              <w:t xml:space="preserve">Le amministrazioni pubbliche obbligate sulla base di specifica normativa ad approvvigionarsi attraverso le convenzioni di cui all’articolo 26, comma 3 della legge 23 dicembre 1999, n. 488 stipulate da </w:t>
            </w:r>
            <w:proofErr w:type="spellStart"/>
            <w:r w:rsidRPr="00735F8B">
              <w:rPr>
                <w:rFonts w:eastAsia="Calibri" w:cstheme="minorHAnsi"/>
                <w:i/>
              </w:rPr>
              <w:t>Consip</w:t>
            </w:r>
            <w:proofErr w:type="spellEnd"/>
            <w:r w:rsidRPr="00735F8B">
              <w:rPr>
                <w:rFonts w:eastAsia="Calibri" w:cstheme="minorHAnsi"/>
                <w:i/>
              </w:rPr>
              <w:t xml:space="preserve">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</w:t>
            </w:r>
            <w:r w:rsidRPr="00735F8B">
              <w:rPr>
                <w:rFonts w:eastAsia="Calibri" w:cstheme="minorHAnsi"/>
              </w:rPr>
              <w:t xml:space="preserve">»; </w:t>
            </w:r>
          </w:p>
        </w:tc>
      </w:tr>
      <w:tr w:rsidR="009D7A5F" w:rsidRPr="00735F8B" w:rsidTr="006D427F">
        <w:tc>
          <w:tcPr>
            <w:tcW w:w="1805" w:type="dxa"/>
            <w:gridSpan w:val="2"/>
            <w:shd w:val="clear" w:color="auto" w:fill="auto"/>
          </w:tcPr>
          <w:p w:rsidR="009D7A5F" w:rsidRPr="00735F8B" w:rsidRDefault="009D7A5F" w:rsidP="004156D7">
            <w:pPr>
              <w:widowControl w:val="0"/>
              <w:jc w:val="both"/>
              <w:rPr>
                <w:rFonts w:eastAsia="Times" w:cstheme="minorHAnsi"/>
                <w:b/>
                <w:bCs/>
              </w:rPr>
            </w:pPr>
            <w:r w:rsidRPr="00735F8B">
              <w:rPr>
                <w:rFonts w:eastAsia="Times" w:cstheme="minorHAnsi"/>
                <w:b/>
                <w:bCs/>
              </w:rPr>
              <w:t>CONSIDERATO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Default="009D7A5F" w:rsidP="004156D7">
            <w:pPr>
              <w:widowControl w:val="0"/>
              <w:jc w:val="both"/>
              <w:rPr>
                <w:rFonts w:eastAsia="Times" w:cstheme="minorHAnsi"/>
                <w:bCs/>
              </w:rPr>
            </w:pPr>
            <w:proofErr w:type="gramStart"/>
            <w:r w:rsidRPr="00735F8B">
              <w:rPr>
                <w:rFonts w:eastAsia="Times" w:cstheme="minorHAnsi"/>
                <w:bCs/>
              </w:rPr>
              <w:t>che</w:t>
            </w:r>
            <w:proofErr w:type="gramEnd"/>
            <w:r w:rsidRPr="00735F8B">
              <w:rPr>
                <w:rFonts w:eastAsia="Times" w:cstheme="minorHAnsi"/>
                <w:bCs/>
              </w:rPr>
              <w:t xml:space="preserve"> il contratto sarà sottoposto a condizione risolutiva nel caso di sopravvenuta disponibilità di una convenzione </w:t>
            </w:r>
            <w:proofErr w:type="spellStart"/>
            <w:r w:rsidRPr="00735F8B">
              <w:rPr>
                <w:rFonts w:eastAsia="Times" w:cstheme="minorHAnsi"/>
                <w:bCs/>
              </w:rPr>
              <w:t>Consip</w:t>
            </w:r>
            <w:proofErr w:type="spellEnd"/>
            <w:r w:rsidRPr="00735F8B">
              <w:rPr>
                <w:rFonts w:eastAsia="Times" w:cstheme="minorHAnsi"/>
                <w:bCs/>
              </w:rPr>
              <w:t xml:space="preserve"> S.p.A. avente ad oggetto </w:t>
            </w:r>
            <w:r w:rsidRPr="00735F8B">
              <w:rPr>
                <w:rFonts w:eastAsia="Times" w:cstheme="minorHAnsi"/>
                <w:bCs/>
                <w:i/>
              </w:rPr>
              <w:t>forniture]</w:t>
            </w:r>
            <w:r w:rsidRPr="00735F8B">
              <w:rPr>
                <w:rFonts w:eastAsia="Times" w:cstheme="minorHAnsi"/>
                <w:bCs/>
              </w:rPr>
              <w:t xml:space="preserve"> comparabili con quelli oggetto di affidamento, ai sensi della norma sopra citata;</w:t>
            </w:r>
          </w:p>
          <w:p w:rsidR="00736C9C" w:rsidRPr="00736C9C" w:rsidRDefault="00736C9C" w:rsidP="00EB623D">
            <w:pPr>
              <w:widowControl w:val="0"/>
              <w:jc w:val="center"/>
              <w:rPr>
                <w:rFonts w:eastAsia="Times" w:cstheme="minorHAnsi"/>
                <w:bCs/>
                <w:i/>
              </w:rPr>
            </w:pPr>
          </w:p>
        </w:tc>
      </w:tr>
      <w:tr w:rsidR="009D7A5F" w:rsidRPr="00735F8B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:rsidR="009D7A5F" w:rsidRPr="00735F8B" w:rsidRDefault="00D5750D" w:rsidP="004156D7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PRESO ATTO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9D7A5F" w:rsidRDefault="004D3964" w:rsidP="003C182B">
            <w:pPr>
              <w:tabs>
                <w:tab w:val="left" w:pos="7263"/>
              </w:tabs>
              <w:ind w:left="-57"/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del</w:t>
            </w:r>
            <w:proofErr w:type="gramEnd"/>
            <w:r>
              <w:rPr>
                <w:rFonts w:cstheme="minorHAnsi"/>
              </w:rPr>
              <w:t xml:space="preserve"> fatto che </w:t>
            </w:r>
            <w:r w:rsidR="00D5750D">
              <w:rPr>
                <w:rFonts w:cstheme="minorHAnsi"/>
              </w:rPr>
              <w:t>il Responsabile dell’Ufficio</w:t>
            </w:r>
            <w:r w:rsidR="000001BA">
              <w:rPr>
                <w:rFonts w:cstheme="minorHAnsi"/>
              </w:rPr>
              <w:t xml:space="preserve"> </w:t>
            </w:r>
            <w:r w:rsidR="00476DEA">
              <w:rPr>
                <w:rFonts w:cstheme="minorHAnsi"/>
              </w:rPr>
              <w:t xml:space="preserve">ha ricevuto </w:t>
            </w:r>
            <w:r w:rsidR="00784EB9">
              <w:rPr>
                <w:rFonts w:cstheme="minorHAnsi"/>
              </w:rPr>
              <w:t>i documenti elaborati</w:t>
            </w:r>
            <w:r w:rsidR="00456AC9">
              <w:rPr>
                <w:rFonts w:cstheme="minorHAnsi"/>
              </w:rPr>
              <w:t>,</w:t>
            </w:r>
            <w:r w:rsidR="00D5750D">
              <w:rPr>
                <w:rFonts w:cstheme="minorHAnsi"/>
              </w:rPr>
              <w:t xml:space="preserve"> </w:t>
            </w:r>
            <w:r w:rsidR="00106C53">
              <w:rPr>
                <w:rFonts w:cstheme="minorHAnsi"/>
              </w:rPr>
              <w:t>ha condiviso la proposta risultante dai documen</w:t>
            </w:r>
            <w:r w:rsidR="000001BA">
              <w:rPr>
                <w:rFonts w:cstheme="minorHAnsi"/>
              </w:rPr>
              <w:t>ti redatti da</w:t>
            </w:r>
            <w:r w:rsidR="00106C53">
              <w:rPr>
                <w:rFonts w:cstheme="minorHAnsi"/>
              </w:rPr>
              <w:t xml:space="preserve">l Responsabile del Procedimento </w:t>
            </w:r>
            <w:r w:rsidR="000001BA">
              <w:rPr>
                <w:rFonts w:cstheme="minorHAnsi"/>
              </w:rPr>
              <w:t xml:space="preserve">medesimo </w:t>
            </w:r>
            <w:r w:rsidR="00106C53">
              <w:rPr>
                <w:rFonts w:cstheme="minorHAnsi"/>
              </w:rPr>
              <w:t>di indire una procedura negoziata senza pubblicazione del bando</w:t>
            </w:r>
            <w:r w:rsidR="000001BA">
              <w:rPr>
                <w:rFonts w:cstheme="minorHAnsi"/>
              </w:rPr>
              <w:t>,</w:t>
            </w:r>
            <w:r w:rsidR="00106C53">
              <w:rPr>
                <w:rFonts w:cstheme="minorHAnsi"/>
              </w:rPr>
              <w:t xml:space="preserve"> da svolgere mediante Richiesta di Offerta </w:t>
            </w:r>
            <w:r w:rsidR="00DA7C48">
              <w:rPr>
                <w:rFonts w:cstheme="minorHAnsi"/>
              </w:rPr>
              <w:t>di operatori economici specializzati</w:t>
            </w:r>
            <w:r w:rsidR="00106C53" w:rsidRPr="00735F8B">
              <w:rPr>
                <w:rFonts w:cstheme="minorHAnsi"/>
              </w:rPr>
              <w:t>;</w:t>
            </w:r>
          </w:p>
          <w:p w:rsidR="00736C9C" w:rsidRPr="00736C9C" w:rsidRDefault="00736C9C" w:rsidP="00736C9C">
            <w:pPr>
              <w:tabs>
                <w:tab w:val="left" w:pos="7263"/>
              </w:tabs>
              <w:ind w:left="-57"/>
              <w:jc w:val="center"/>
              <w:rPr>
                <w:rFonts w:eastAsia="Calibri" w:cstheme="minorHAnsi"/>
                <w:bCs/>
                <w:i/>
              </w:rPr>
            </w:pPr>
          </w:p>
        </w:tc>
      </w:tr>
      <w:tr w:rsidR="00D5750D" w:rsidRPr="00735F8B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:rsidR="00D5750D" w:rsidRDefault="0029484A" w:rsidP="004156D7">
            <w:pPr>
              <w:rPr>
                <w:rFonts w:eastAsia="Calibri" w:cstheme="minorHAnsi"/>
                <w:b/>
              </w:rPr>
            </w:pPr>
            <w:r w:rsidRPr="00735F8B"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D5750D" w:rsidRDefault="0029484A" w:rsidP="00393054">
            <w:pPr>
              <w:tabs>
                <w:tab w:val="left" w:pos="7263"/>
              </w:tabs>
              <w:jc w:val="both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l</w:t>
            </w:r>
            <w:r w:rsidRPr="00735F8B">
              <w:rPr>
                <w:rFonts w:cstheme="minorHAnsi"/>
              </w:rPr>
              <w:t>’elenco</w:t>
            </w:r>
            <w:proofErr w:type="gramEnd"/>
            <w:r w:rsidRPr="00735F8B">
              <w:rPr>
                <w:rFonts w:cstheme="minorHAnsi"/>
              </w:rPr>
              <w:t xml:space="preserve"> di operatori da invitare alla presente procedura</w:t>
            </w:r>
            <w:r>
              <w:rPr>
                <w:rFonts w:cstheme="minorHAnsi"/>
              </w:rPr>
              <w:t>, (trasmesso dal Responsabile del Procedimento ed allegato al presente provvedimento)</w:t>
            </w:r>
          </w:p>
        </w:tc>
      </w:tr>
      <w:tr w:rsidR="003F6CCD" w:rsidRPr="00735F8B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:rsidR="003F6CCD" w:rsidRPr="00735F8B" w:rsidRDefault="003F6CCD" w:rsidP="003F6CCD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3F6CCD" w:rsidRPr="00735F8B" w:rsidRDefault="003F6CCD" w:rsidP="003F6CCD">
            <w:pPr>
              <w:ind w:left="-57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l’art. 56 comma 2 del vigente Regolamento di Ateneo per l’Amministrazione, la Finanza e la Contabilità;</w:t>
            </w:r>
          </w:p>
        </w:tc>
      </w:tr>
      <w:tr w:rsidR="003F6CCD" w:rsidRPr="00735F8B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:rsidR="003F6CCD" w:rsidRPr="00735F8B" w:rsidRDefault="003F6CCD" w:rsidP="003F6CCD">
            <w:pPr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VISTO</w:t>
            </w:r>
          </w:p>
        </w:tc>
        <w:tc>
          <w:tcPr>
            <w:tcW w:w="7833" w:type="dxa"/>
            <w:gridSpan w:val="2"/>
            <w:shd w:val="clear" w:color="auto" w:fill="auto"/>
          </w:tcPr>
          <w:p w:rsidR="003F6CCD" w:rsidRPr="00735F8B" w:rsidRDefault="003F6CCD" w:rsidP="003F6CCD">
            <w:pPr>
              <w:ind w:left="-57"/>
              <w:jc w:val="both"/>
              <w:rPr>
                <w:rFonts w:eastAsia="Calibri" w:cstheme="minorHAnsi"/>
                <w:bCs/>
              </w:rPr>
            </w:pPr>
            <w:proofErr w:type="gramStart"/>
            <w:r>
              <w:rPr>
                <w:rFonts w:eastAsia="Calibri" w:cstheme="minorHAnsi"/>
                <w:bCs/>
              </w:rPr>
              <w:t>Il  vigente</w:t>
            </w:r>
            <w:proofErr w:type="gramEnd"/>
            <w:r>
              <w:rPr>
                <w:rFonts w:eastAsia="Calibri" w:cstheme="minorHAnsi"/>
                <w:bCs/>
              </w:rPr>
              <w:t xml:space="preserve"> Piano Triennale per la Prevenzione della Corruzione e la Trasparenza;</w:t>
            </w:r>
          </w:p>
        </w:tc>
      </w:tr>
      <w:tr w:rsidR="003F6CCD" w:rsidRPr="00735F8B" w:rsidTr="006D427F">
        <w:trPr>
          <w:trHeight w:val="690"/>
        </w:trPr>
        <w:tc>
          <w:tcPr>
            <w:tcW w:w="1805" w:type="dxa"/>
            <w:gridSpan w:val="2"/>
            <w:shd w:val="clear" w:color="auto" w:fill="auto"/>
          </w:tcPr>
          <w:p w:rsidR="003F6CCD" w:rsidRPr="00735F8B" w:rsidRDefault="003F6CCD" w:rsidP="003F6CCD">
            <w:pPr>
              <w:rPr>
                <w:rFonts w:eastAsia="Calibri" w:cstheme="minorHAnsi"/>
                <w:b/>
              </w:rPr>
            </w:pPr>
          </w:p>
        </w:tc>
        <w:tc>
          <w:tcPr>
            <w:tcW w:w="7833" w:type="dxa"/>
            <w:gridSpan w:val="2"/>
            <w:shd w:val="clear" w:color="auto" w:fill="auto"/>
          </w:tcPr>
          <w:p w:rsidR="003F6CCD" w:rsidRPr="00735F8B" w:rsidRDefault="003F6CCD" w:rsidP="003F6CCD">
            <w:pPr>
              <w:jc w:val="center"/>
              <w:rPr>
                <w:rFonts w:cstheme="minorHAnsi"/>
                <w:b/>
                <w:bCs/>
              </w:rPr>
            </w:pPr>
            <w:r w:rsidRPr="009A1927">
              <w:rPr>
                <w:rFonts w:cstheme="minorHAnsi"/>
                <w:b/>
                <w:bCs/>
                <w:sz w:val="24"/>
                <w:szCs w:val="24"/>
              </w:rPr>
              <w:t>DETERMINA</w:t>
            </w:r>
          </w:p>
          <w:p w:rsidR="003F6CCD" w:rsidRDefault="003F6CCD" w:rsidP="003F6CCD">
            <w:pPr>
              <w:tabs>
                <w:tab w:val="left" w:pos="7263"/>
              </w:tabs>
              <w:ind w:left="-57"/>
              <w:jc w:val="both"/>
              <w:rPr>
                <w:rFonts w:cstheme="minorHAnsi"/>
              </w:rPr>
            </w:pPr>
          </w:p>
        </w:tc>
      </w:tr>
    </w:tbl>
    <w:p w:rsidR="009D7A5F" w:rsidRPr="00735F8B" w:rsidRDefault="009D7A5F" w:rsidP="009A1927">
      <w:pPr>
        <w:suppressAutoHyphens/>
        <w:spacing w:line="360" w:lineRule="auto"/>
        <w:jc w:val="both"/>
        <w:rPr>
          <w:rFonts w:eastAsia="Times New Roman" w:cstheme="minorHAnsi"/>
          <w:lang w:eastAsia="zh-CN"/>
        </w:rPr>
      </w:pPr>
      <w:r w:rsidRPr="00735F8B">
        <w:rPr>
          <w:rFonts w:eastAsia="Times New Roman" w:cstheme="minorHAnsi"/>
          <w:lang w:eastAsia="zh-CN"/>
        </w:rPr>
        <w:t>Per i motivi espressi nella premessa, che si intendono integralmente richiamati:</w:t>
      </w:r>
    </w:p>
    <w:p w:rsidR="009D7A5F" w:rsidRPr="00EB623D" w:rsidRDefault="009D7A5F" w:rsidP="00EB623D">
      <w:pPr>
        <w:pStyle w:val="Paragrafoelenco"/>
        <w:numPr>
          <w:ilvl w:val="0"/>
          <w:numId w:val="8"/>
        </w:numPr>
        <w:ind w:left="714" w:hanging="357"/>
        <w:contextualSpacing w:val="0"/>
        <w:jc w:val="both"/>
        <w:rPr>
          <w:rFonts w:eastAsia="Calibri" w:cstheme="minorHAnsi"/>
        </w:rPr>
      </w:pPr>
      <w:proofErr w:type="gramStart"/>
      <w:r w:rsidRPr="003A585B">
        <w:rPr>
          <w:rFonts w:cstheme="minorHAnsi"/>
          <w:bCs/>
        </w:rPr>
        <w:lastRenderedPageBreak/>
        <w:t>di</w:t>
      </w:r>
      <w:proofErr w:type="gramEnd"/>
      <w:r w:rsidRPr="003A585B">
        <w:rPr>
          <w:rFonts w:cstheme="minorHAnsi"/>
          <w:bCs/>
        </w:rPr>
        <w:t xml:space="preserve"> autorizzare l’indizione della procedura negoziata senza previa pubblicazione del bando, </w:t>
      </w:r>
      <w:r w:rsidR="004D7EF7" w:rsidRPr="003A585B">
        <w:rPr>
          <w:rFonts w:cstheme="minorHAnsi"/>
          <w:bCs/>
        </w:rPr>
        <w:t xml:space="preserve">da espletare </w:t>
      </w:r>
      <w:r w:rsidRPr="003A585B">
        <w:rPr>
          <w:rFonts w:cstheme="minorHAnsi"/>
          <w:bCs/>
        </w:rPr>
        <w:t xml:space="preserve">tramite Richiesta di Offerta </w:t>
      </w:r>
      <w:r w:rsidR="00DA7C48">
        <w:rPr>
          <w:rFonts w:cstheme="minorHAnsi"/>
          <w:bCs/>
        </w:rPr>
        <w:t xml:space="preserve">di Offerta </w:t>
      </w:r>
      <w:r w:rsidR="00C70CC3">
        <w:rPr>
          <w:rFonts w:cstheme="minorHAnsi"/>
          <w:bCs/>
        </w:rPr>
        <w:t>, per l’affidamento del servizio</w:t>
      </w:r>
      <w:r w:rsidR="00787701">
        <w:rPr>
          <w:rFonts w:cstheme="minorHAnsi"/>
          <w:bCs/>
        </w:rPr>
        <w:t xml:space="preserve"> di quanto meglio descritto</w:t>
      </w:r>
      <w:r w:rsidR="00C70CC3">
        <w:rPr>
          <w:rFonts w:cstheme="minorHAnsi"/>
          <w:bCs/>
        </w:rPr>
        <w:t xml:space="preserve"> nei documenti preparatori</w:t>
      </w:r>
      <w:r w:rsidR="00787701">
        <w:rPr>
          <w:rFonts w:cstheme="minorHAnsi"/>
          <w:bCs/>
        </w:rPr>
        <w:t xml:space="preserve">, manifestando quale criterio di aggiudicazione </w:t>
      </w:r>
      <w:r w:rsidR="003F6CCD">
        <w:rPr>
          <w:rFonts w:cstheme="minorHAnsi"/>
          <w:bCs/>
        </w:rPr>
        <w:t xml:space="preserve">quello </w:t>
      </w:r>
      <w:r w:rsidR="003A585B" w:rsidRPr="00EB623D">
        <w:rPr>
          <w:rFonts w:eastAsia="Calibri" w:cstheme="minorHAnsi"/>
          <w:i/>
        </w:rPr>
        <w:t xml:space="preserve">del minor prezzo </w:t>
      </w:r>
      <w:r w:rsidR="003A585B" w:rsidRPr="00EB623D">
        <w:rPr>
          <w:rFonts w:eastAsia="Calibri" w:cstheme="minorHAnsi"/>
        </w:rPr>
        <w:t>;</w:t>
      </w:r>
    </w:p>
    <w:p w:rsidR="009D7A5F" w:rsidRPr="00190B62" w:rsidRDefault="009D7A5F" w:rsidP="006E7A54">
      <w:pPr>
        <w:pStyle w:val="Paragrafoelenco"/>
        <w:numPr>
          <w:ilvl w:val="0"/>
          <w:numId w:val="11"/>
        </w:numPr>
        <w:ind w:left="993" w:hanging="284"/>
        <w:contextualSpacing w:val="0"/>
        <w:jc w:val="both"/>
        <w:rPr>
          <w:rFonts w:cstheme="minorHAnsi"/>
        </w:rPr>
      </w:pPr>
      <w:proofErr w:type="gramStart"/>
      <w:r w:rsidRPr="00190B62">
        <w:rPr>
          <w:rFonts w:cstheme="minorHAnsi"/>
        </w:rPr>
        <w:t>di</w:t>
      </w:r>
      <w:proofErr w:type="gramEnd"/>
      <w:r w:rsidRPr="00190B62">
        <w:rPr>
          <w:rFonts w:cstheme="minorHAnsi"/>
        </w:rPr>
        <w:t xml:space="preserve"> porre a base di procedura l’importo massimo di € </w:t>
      </w:r>
      <w:r w:rsidR="00C70CC3">
        <w:rPr>
          <w:rFonts w:cstheme="minorHAnsi"/>
        </w:rPr>
        <w:t>3</w:t>
      </w:r>
      <w:r w:rsidR="00393054">
        <w:rPr>
          <w:rFonts w:cstheme="minorHAnsi"/>
        </w:rPr>
        <w:t>9</w:t>
      </w:r>
      <w:r w:rsidR="00F66383" w:rsidRPr="00190B62">
        <w:rPr>
          <w:rFonts w:cstheme="minorHAnsi"/>
        </w:rPr>
        <w:t>.</w:t>
      </w:r>
      <w:r w:rsidR="00393054">
        <w:rPr>
          <w:rFonts w:cstheme="minorHAnsi"/>
        </w:rPr>
        <w:t>855</w:t>
      </w:r>
      <w:r w:rsidR="00F66383" w:rsidRPr="00190B62">
        <w:rPr>
          <w:rFonts w:cstheme="minorHAnsi"/>
        </w:rPr>
        <w:t>,</w:t>
      </w:r>
      <w:r w:rsidR="00393054">
        <w:rPr>
          <w:rFonts w:cstheme="minorHAnsi"/>
        </w:rPr>
        <w:t>15</w:t>
      </w:r>
      <w:r w:rsidRPr="00190B62" w:rsidDel="00674E82">
        <w:rPr>
          <w:rFonts w:cstheme="minorHAnsi"/>
          <w:i/>
        </w:rPr>
        <w:t xml:space="preserve"> </w:t>
      </w:r>
      <w:r w:rsidRPr="00190B62">
        <w:rPr>
          <w:rFonts w:cstheme="minorHAnsi"/>
        </w:rPr>
        <w:t xml:space="preserve">(Euro </w:t>
      </w:r>
      <w:proofErr w:type="spellStart"/>
      <w:r w:rsidR="00C70CC3">
        <w:rPr>
          <w:rFonts w:cstheme="minorHAnsi"/>
        </w:rPr>
        <w:t>trenta</w:t>
      </w:r>
      <w:r w:rsidR="00393054">
        <w:rPr>
          <w:rFonts w:cstheme="minorHAnsi"/>
        </w:rPr>
        <w:t>novemilaottocentocinquantacinque</w:t>
      </w:r>
      <w:proofErr w:type="spellEnd"/>
      <w:r w:rsidRPr="00190B62">
        <w:rPr>
          <w:rFonts w:cstheme="minorHAnsi"/>
        </w:rPr>
        <w:t>/</w:t>
      </w:r>
      <w:r w:rsidR="00393054">
        <w:rPr>
          <w:rFonts w:cstheme="minorHAnsi"/>
        </w:rPr>
        <w:t>15</w:t>
      </w:r>
      <w:r w:rsidRPr="00190B62">
        <w:rPr>
          <w:rFonts w:cstheme="minorHAnsi"/>
        </w:rPr>
        <w:t xml:space="preserve">), al netto di IVA </w:t>
      </w:r>
      <w:r w:rsidR="00190B62" w:rsidRPr="00190B62">
        <w:rPr>
          <w:rFonts w:cstheme="minorHAnsi"/>
        </w:rPr>
        <w:t xml:space="preserve">e comprensiva dell’importo dovuto </w:t>
      </w:r>
      <w:r w:rsidRPr="00190B62">
        <w:rPr>
          <w:rFonts w:cstheme="minorHAnsi"/>
        </w:rPr>
        <w:t>per oneri di sicurezza per l’eliminazione dei rischi di interferenza, non soggetti a ribasso</w:t>
      </w:r>
      <w:r w:rsidR="00D61885">
        <w:rPr>
          <w:rFonts w:cstheme="minorHAnsi"/>
        </w:rPr>
        <w:t>;</w:t>
      </w:r>
    </w:p>
    <w:p w:rsidR="009D7A5F" w:rsidRDefault="009D7A5F" w:rsidP="00EB623D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</w:rPr>
      </w:pPr>
      <w:proofErr w:type="gramStart"/>
      <w:r w:rsidRPr="00735F8B">
        <w:rPr>
          <w:rFonts w:cstheme="minorHAnsi"/>
        </w:rPr>
        <w:t>di</w:t>
      </w:r>
      <w:proofErr w:type="gramEnd"/>
      <w:r w:rsidRPr="00735F8B">
        <w:rPr>
          <w:rFonts w:cstheme="minorHAnsi"/>
        </w:rPr>
        <w:t xml:space="preserve"> invitare alla procedura in questione gli operatori</w:t>
      </w:r>
      <w:r w:rsidR="00A42B58">
        <w:rPr>
          <w:rFonts w:cstheme="minorHAnsi"/>
        </w:rPr>
        <w:t xml:space="preserve"> precedentemente indicati</w:t>
      </w:r>
      <w:r w:rsidRPr="00735F8B">
        <w:rPr>
          <w:rFonts w:cstheme="minorHAnsi"/>
        </w:rPr>
        <w:t>;</w:t>
      </w:r>
    </w:p>
    <w:p w:rsidR="008B55DF" w:rsidRDefault="008B55DF" w:rsidP="00EB623D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porre a base della procedura i seguenti atti:</w:t>
      </w:r>
    </w:p>
    <w:p w:rsidR="00E24A72" w:rsidRDefault="00897806" w:rsidP="00E24A72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</w:rPr>
      </w:pPr>
      <w:r>
        <w:rPr>
          <w:rFonts w:cstheme="minorHAnsi"/>
        </w:rPr>
        <w:t>-  Comput</w:t>
      </w:r>
      <w:r w:rsidR="00744E5D">
        <w:rPr>
          <w:rFonts w:cstheme="minorHAnsi"/>
        </w:rPr>
        <w:t>o</w:t>
      </w:r>
      <w:r>
        <w:rPr>
          <w:rFonts w:cstheme="minorHAnsi"/>
        </w:rPr>
        <w:t xml:space="preserve"> metric</w:t>
      </w:r>
      <w:r w:rsidR="00744E5D">
        <w:rPr>
          <w:rFonts w:cstheme="minorHAnsi"/>
        </w:rPr>
        <w:t>o</w:t>
      </w:r>
    </w:p>
    <w:p w:rsidR="003A585B" w:rsidRDefault="003A585B" w:rsidP="00EB623D">
      <w:pPr>
        <w:numPr>
          <w:ilvl w:val="0"/>
          <w:numId w:val="11"/>
        </w:numPr>
        <w:ind w:left="993" w:hanging="284"/>
        <w:jc w:val="both"/>
        <w:rPr>
          <w:rFonts w:cstheme="minorHAnsi"/>
        </w:rPr>
      </w:pPr>
      <w:r>
        <w:rPr>
          <w:rFonts w:cstheme="minorHAnsi"/>
        </w:rPr>
        <w:t>Modelli per Autodichiarazioni;</w:t>
      </w:r>
    </w:p>
    <w:p w:rsidR="003A585B" w:rsidRDefault="003A585B" w:rsidP="00EB623D">
      <w:pPr>
        <w:numPr>
          <w:ilvl w:val="0"/>
          <w:numId w:val="11"/>
        </w:numPr>
        <w:ind w:left="993" w:hanging="284"/>
        <w:jc w:val="both"/>
        <w:rPr>
          <w:rFonts w:cstheme="minorHAnsi"/>
        </w:rPr>
      </w:pPr>
      <w:r>
        <w:rPr>
          <w:rFonts w:cstheme="minorHAnsi"/>
        </w:rPr>
        <w:t>Modello Offerta Economica;</w:t>
      </w:r>
    </w:p>
    <w:p w:rsidR="008B55DF" w:rsidRPr="000001BA" w:rsidRDefault="008B55DF" w:rsidP="00EB623D">
      <w:pPr>
        <w:pStyle w:val="Paragrafoelenco"/>
        <w:numPr>
          <w:ilvl w:val="0"/>
          <w:numId w:val="8"/>
        </w:numPr>
        <w:contextualSpacing w:val="0"/>
        <w:jc w:val="both"/>
        <w:rPr>
          <w:rFonts w:cstheme="minorHAnsi"/>
          <w:bCs/>
        </w:rPr>
      </w:pPr>
      <w:proofErr w:type="gramStart"/>
      <w:r w:rsidRPr="000001BA">
        <w:rPr>
          <w:rFonts w:cstheme="minorHAnsi"/>
          <w:bCs/>
        </w:rPr>
        <w:t>di</w:t>
      </w:r>
      <w:proofErr w:type="gramEnd"/>
      <w:r w:rsidRPr="000001BA">
        <w:rPr>
          <w:rFonts w:cstheme="minorHAnsi"/>
          <w:bCs/>
        </w:rPr>
        <w:t xml:space="preserve"> autorizzare l’assunzione del relativo impegno di spesa, da imputare sul capitolo</w:t>
      </w:r>
      <w:r w:rsidR="00714474">
        <w:rPr>
          <w:rFonts w:cstheme="minorHAnsi"/>
          <w:bCs/>
        </w:rPr>
        <w:t xml:space="preserve"> “</w:t>
      </w:r>
      <w:r w:rsidR="0080595B">
        <w:rPr>
          <w:rFonts w:cstheme="minorHAnsi"/>
          <w:bCs/>
        </w:rPr>
        <w:t>000009</w:t>
      </w:r>
      <w:r w:rsidR="00490B46">
        <w:rPr>
          <w:rFonts w:cstheme="minorHAnsi"/>
          <w:bCs/>
        </w:rPr>
        <w:t>—</w:t>
      </w:r>
      <w:r w:rsidR="00714474">
        <w:rPr>
          <w:rFonts w:cstheme="minorHAnsi"/>
          <w:bCs/>
        </w:rPr>
        <w:t>Assegnaz</w:t>
      </w:r>
      <w:r w:rsidR="00490B46">
        <w:rPr>
          <w:rFonts w:cstheme="minorHAnsi"/>
          <w:bCs/>
        </w:rPr>
        <w:t xml:space="preserve">_CA04_CDA_N._103 del 27-03-2019 CIRES LABORATORI” disponibili </w:t>
      </w:r>
      <w:r w:rsidR="00897806">
        <w:rPr>
          <w:rFonts w:cstheme="minorHAnsi"/>
          <w:bCs/>
        </w:rPr>
        <w:t xml:space="preserve"> </w:t>
      </w:r>
      <w:r w:rsidRPr="000001BA">
        <w:rPr>
          <w:rFonts w:cstheme="minorHAnsi"/>
          <w:bCs/>
        </w:rPr>
        <w:t xml:space="preserve"> del bilancio  di previsione annuale </w:t>
      </w:r>
      <w:proofErr w:type="spellStart"/>
      <w:r w:rsidRPr="000001BA">
        <w:rPr>
          <w:rFonts w:cstheme="minorHAnsi"/>
          <w:bCs/>
        </w:rPr>
        <w:t>autorizzatorio</w:t>
      </w:r>
      <w:proofErr w:type="spellEnd"/>
      <w:r w:rsidRPr="000001BA">
        <w:rPr>
          <w:rFonts w:cstheme="minorHAnsi"/>
          <w:bCs/>
        </w:rPr>
        <w:t xml:space="preserve"> </w:t>
      </w:r>
      <w:r w:rsidR="008B27F1">
        <w:rPr>
          <w:rFonts w:cstheme="minorHAnsi"/>
          <w:bCs/>
        </w:rPr>
        <w:t xml:space="preserve">del </w:t>
      </w:r>
      <w:proofErr w:type="spellStart"/>
      <w:r w:rsidR="008B27F1">
        <w:rPr>
          <w:rFonts w:cstheme="minorHAnsi"/>
          <w:bCs/>
        </w:rPr>
        <w:t>Dicea</w:t>
      </w:r>
      <w:proofErr w:type="spellEnd"/>
      <w:r w:rsidR="008B27F1">
        <w:rPr>
          <w:rFonts w:cstheme="minorHAnsi"/>
          <w:bCs/>
        </w:rPr>
        <w:t xml:space="preserve"> </w:t>
      </w:r>
      <w:r w:rsidRPr="000001BA">
        <w:rPr>
          <w:rFonts w:cstheme="minorHAnsi"/>
          <w:bCs/>
        </w:rPr>
        <w:t xml:space="preserve">per l’esercizio finanziario </w:t>
      </w:r>
      <w:r w:rsidR="008B27F1">
        <w:rPr>
          <w:rFonts w:cstheme="minorHAnsi"/>
          <w:bCs/>
        </w:rPr>
        <w:t>2020</w:t>
      </w:r>
      <w:r w:rsidR="001F25D3">
        <w:rPr>
          <w:rFonts w:cstheme="minorHAnsi"/>
          <w:bCs/>
        </w:rPr>
        <w:t xml:space="preserve">, imputando al CA: </w:t>
      </w:r>
      <w:r w:rsidR="006D427F">
        <w:rPr>
          <w:rFonts w:cstheme="minorHAnsi"/>
          <w:bCs/>
        </w:rPr>
        <w:t xml:space="preserve"> 0</w:t>
      </w:r>
      <w:r w:rsidR="00AE2275">
        <w:rPr>
          <w:rFonts w:cstheme="minorHAnsi"/>
          <w:bCs/>
        </w:rPr>
        <w:t>4.41</w:t>
      </w:r>
      <w:r w:rsidR="006D427F">
        <w:rPr>
          <w:rFonts w:cstheme="minorHAnsi"/>
          <w:bCs/>
        </w:rPr>
        <w:t>.0</w:t>
      </w:r>
      <w:r w:rsidR="00AE2275">
        <w:rPr>
          <w:rFonts w:cstheme="minorHAnsi"/>
          <w:bCs/>
        </w:rPr>
        <w:t>4</w:t>
      </w:r>
      <w:r w:rsidR="006D427F">
        <w:rPr>
          <w:rFonts w:cstheme="minorHAnsi"/>
          <w:bCs/>
        </w:rPr>
        <w:t>.05.01</w:t>
      </w:r>
      <w:r w:rsidRPr="000001BA">
        <w:rPr>
          <w:rFonts w:cstheme="minorHAnsi"/>
          <w:bCs/>
        </w:rPr>
        <w:t>;</w:t>
      </w:r>
    </w:p>
    <w:p w:rsidR="009A1927" w:rsidRDefault="008B55DF" w:rsidP="00EB623D">
      <w:pPr>
        <w:numPr>
          <w:ilvl w:val="0"/>
          <w:numId w:val="2"/>
        </w:numPr>
        <w:suppressAutoHyphens/>
        <w:jc w:val="both"/>
        <w:rPr>
          <w:rFonts w:cstheme="minorHAnsi"/>
          <w:bCs/>
        </w:rPr>
      </w:pPr>
      <w:proofErr w:type="gramStart"/>
      <w:r>
        <w:rPr>
          <w:rFonts w:cstheme="minorHAnsi"/>
          <w:bCs/>
        </w:rPr>
        <w:t>di</w:t>
      </w:r>
      <w:proofErr w:type="gramEnd"/>
      <w:r>
        <w:rPr>
          <w:rFonts w:cstheme="minorHAnsi"/>
          <w:bCs/>
        </w:rPr>
        <w:t xml:space="preserve"> dare mandato all’Unità organizzativa Responsabile del Procedimento</w:t>
      </w:r>
      <w:r w:rsidR="00DC2FF5">
        <w:rPr>
          <w:rFonts w:cstheme="minorHAnsi"/>
          <w:bCs/>
        </w:rPr>
        <w:t xml:space="preserve">, che con questo provvedimento viene nominata nella persona del </w:t>
      </w:r>
      <w:r w:rsidR="00F84D0A">
        <w:rPr>
          <w:rFonts w:cstheme="minorHAnsi"/>
          <w:bCs/>
        </w:rPr>
        <w:t>Prof.</w:t>
      </w:r>
      <w:r w:rsidR="00042969">
        <w:rPr>
          <w:rFonts w:cstheme="minorHAnsi"/>
          <w:bCs/>
        </w:rPr>
        <w:t xml:space="preserve"> Francesca Russo</w:t>
      </w:r>
      <w:r w:rsidR="00DC2FF5">
        <w:rPr>
          <w:rFonts w:cstheme="minorHAnsi"/>
          <w:bCs/>
        </w:rPr>
        <w:t>,</w:t>
      </w:r>
      <w:r>
        <w:rPr>
          <w:rFonts w:cstheme="minorHAnsi"/>
          <w:bCs/>
        </w:rPr>
        <w:t xml:space="preserve"> di porre in essere tutti gli adempimenti relativi agli obblighi di cui alla vigente normativa in materia di trasparenza e di prevenzione della corruzione, connessi all’adozione del presente provvedimento.</w:t>
      </w:r>
    </w:p>
    <w:p w:rsidR="006D427F" w:rsidRDefault="00042969" w:rsidP="006D427F">
      <w:pPr>
        <w:numPr>
          <w:ilvl w:val="8"/>
          <w:numId w:val="2"/>
        </w:numPr>
        <w:suppressAutoHyphens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            </w:t>
      </w:r>
      <w:r w:rsidR="006D427F">
        <w:rPr>
          <w:rFonts w:cstheme="minorHAnsi"/>
          <w:bCs/>
        </w:rPr>
        <w:t>Il DIRETTORE</w:t>
      </w:r>
    </w:p>
    <w:p w:rsidR="00042969" w:rsidRPr="009A1927" w:rsidRDefault="00042969" w:rsidP="006D427F">
      <w:pPr>
        <w:numPr>
          <w:ilvl w:val="8"/>
          <w:numId w:val="2"/>
        </w:numPr>
        <w:suppressAutoHyphens/>
        <w:jc w:val="both"/>
        <w:rPr>
          <w:rFonts w:cstheme="minorHAnsi"/>
          <w:bCs/>
        </w:rPr>
      </w:pPr>
      <w:r>
        <w:rPr>
          <w:rFonts w:cstheme="minorHAnsi"/>
          <w:bCs/>
        </w:rPr>
        <w:t>Prof. Ing. Claudio Mancuso</w:t>
      </w:r>
    </w:p>
    <w:sectPr w:rsidR="00042969" w:rsidRPr="009A1927" w:rsidSect="00D61885">
      <w:headerReference w:type="default" r:id="rId8"/>
      <w:foot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C51" w:rsidRDefault="001E0C51" w:rsidP="00E81D5C">
      <w:pPr>
        <w:spacing w:before="0" w:after="0"/>
      </w:pPr>
      <w:r>
        <w:separator/>
      </w:r>
    </w:p>
  </w:endnote>
  <w:endnote w:type="continuationSeparator" w:id="0">
    <w:p w:rsidR="001E0C51" w:rsidRDefault="001E0C51" w:rsidP="00E81D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6549314"/>
      <w:docPartObj>
        <w:docPartGallery w:val="Page Numbers (Bottom of Page)"/>
        <w:docPartUnique/>
      </w:docPartObj>
    </w:sdtPr>
    <w:sdtEndPr/>
    <w:sdtContent>
      <w:p w:rsidR="000001BA" w:rsidRDefault="00BC043D">
        <w:pPr>
          <w:pStyle w:val="Pidipagina"/>
          <w:jc w:val="right"/>
        </w:pPr>
        <w:r>
          <w:fldChar w:fldCharType="begin"/>
        </w:r>
        <w:r w:rsidR="00DC22CB">
          <w:instrText>PAGE   \* MERGEFORMAT</w:instrText>
        </w:r>
        <w:r>
          <w:fldChar w:fldCharType="separate"/>
        </w:r>
        <w:r w:rsidR="00742D4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01BA" w:rsidRDefault="000001B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C51" w:rsidRDefault="001E0C51" w:rsidP="00E81D5C">
      <w:pPr>
        <w:spacing w:before="0" w:after="0"/>
      </w:pPr>
      <w:r>
        <w:separator/>
      </w:r>
    </w:p>
  </w:footnote>
  <w:footnote w:type="continuationSeparator" w:id="0">
    <w:p w:rsidR="001E0C51" w:rsidRDefault="001E0C51" w:rsidP="00E81D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885" w:rsidRPr="000F2D7A" w:rsidRDefault="00D61885" w:rsidP="00D61885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154F17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116027" wp14:editId="04A272FE">
              <wp:simplePos x="0" y="0"/>
              <wp:positionH relativeFrom="margin">
                <wp:posOffset>-16510</wp:posOffset>
              </wp:positionH>
              <wp:positionV relativeFrom="topMargin">
                <wp:posOffset>900430</wp:posOffset>
              </wp:positionV>
              <wp:extent cx="6120000" cy="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5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FC9E3E" id="Connettore 1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" from="-1.3pt,70.9pt" to="480.6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" strokecolor="red" strokeweight=".25pt">
              <v:stroke joinstyle="miter"/>
              <w10:wrap type="through" anchorx="margin" anchory="margin"/>
            </v:line>
          </w:pict>
        </mc:Fallback>
      </mc:AlternateContent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</w:p>
  <w:p w:rsidR="000001BA" w:rsidRPr="00D61885" w:rsidRDefault="000001BA" w:rsidP="00D6188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885" w:rsidRPr="00A05BC8" w:rsidRDefault="00D61885" w:rsidP="00D61885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ED45E6">
      <w:rPr>
        <w:rFonts w:asciiTheme="majorHAnsi" w:hAnsiTheme="majorHAnsi"/>
        <w:noProof/>
        <w:sz w:val="40"/>
        <w:szCs w:val="40"/>
        <w:lang w:eastAsia="it-IT"/>
      </w:rPr>
      <w:drawing>
        <wp:anchor distT="0" distB="0" distL="114300" distR="114300" simplePos="0" relativeHeight="251661312" behindDoc="0" locked="0" layoutInCell="1" allowOverlap="1" wp14:anchorId="0F0EDD20" wp14:editId="4845DF54">
          <wp:simplePos x="0" y="0"/>
          <wp:positionH relativeFrom="column">
            <wp:posOffset>71120</wp:posOffset>
          </wp:positionH>
          <wp:positionV relativeFrom="page">
            <wp:posOffset>342900</wp:posOffset>
          </wp:positionV>
          <wp:extent cx="864870" cy="862330"/>
          <wp:effectExtent l="0" t="0" r="0" b="0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62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D45E6">
      <w:rPr>
        <w:rFonts w:asciiTheme="majorHAnsi" w:hAnsiTheme="majorHAnsi"/>
        <w:b/>
        <w:sz w:val="40"/>
        <w:szCs w:val="40"/>
      </w:rPr>
      <w:t>Università degli Studi di Napoli Federico II</w:t>
    </w:r>
    <w:r w:rsidRPr="0065100A">
      <w:rPr>
        <w:noProof/>
        <w:sz w:val="32"/>
        <w:szCs w:val="32"/>
        <w:lang w:eastAsia="it-IT"/>
      </w:rPr>
      <w:t xml:space="preserve"> </w:t>
    </w:r>
    <w:r>
      <w:rPr>
        <w:noProof/>
        <w:sz w:val="32"/>
        <w:szCs w:val="32"/>
        <w:lang w:eastAsia="it-IT"/>
      </w:rPr>
      <w:br/>
    </w: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  <w:r w:rsidRPr="00E55ECD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957707" wp14:editId="70041564">
              <wp:simplePos x="0" y="0"/>
              <wp:positionH relativeFrom="margin">
                <wp:align>center</wp:align>
              </wp:positionH>
              <wp:positionV relativeFrom="topMargin">
                <wp:posOffset>1260475</wp:posOffset>
              </wp:positionV>
              <wp:extent cx="6120000" cy="0"/>
              <wp:effectExtent l="0" t="0" r="33655" b="19050"/>
              <wp:wrapThrough wrapText="bothSides">
                <wp:wrapPolygon edited="0">
                  <wp:start x="0" y="-1"/>
                  <wp:lineTo x="0" y="-1"/>
                  <wp:lineTo x="21652" y="-1"/>
                  <wp:lineTo x="21652" y="-1"/>
                  <wp:lineTo x="0" y="-1"/>
                </wp:wrapPolygon>
              </wp:wrapThrough>
              <wp:docPr id="2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00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rgbClr val="FF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9E640" id="Connettore 1 3" o:spid="_x0000_s1026" style="position:absolute;flip:y;z-index:25166233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op-margin-area;mso-width-percent:0;mso-width-relative:margin" from="0,99.25pt" to="481.9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" strokecolor="red" strokeweight=".25pt">
              <v:stroke joinstyle="miter"/>
              <w10:wrap type="through" anchorx="margin" anchory="margin"/>
            </v:line>
          </w:pict>
        </mc:Fallback>
      </mc:AlternateContent>
    </w:r>
  </w:p>
  <w:p w:rsidR="00D61885" w:rsidRDefault="00D61885" w:rsidP="00D61885">
    <w:pPr>
      <w:pStyle w:val="Intestazione"/>
    </w:pPr>
  </w:p>
  <w:p w:rsidR="00D61885" w:rsidRDefault="00D6188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>
    <w:nsid w:val="32D14B59"/>
    <w:multiLevelType w:val="hybridMultilevel"/>
    <w:tmpl w:val="455AE592"/>
    <w:lvl w:ilvl="0" w:tplc="78A83CA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3" w:hanging="360"/>
      </w:pPr>
    </w:lvl>
    <w:lvl w:ilvl="2" w:tplc="0410001B" w:tentative="1">
      <w:start w:val="1"/>
      <w:numFmt w:val="lowerRoman"/>
      <w:lvlText w:val="%3."/>
      <w:lvlJc w:val="right"/>
      <w:pPr>
        <w:ind w:left="1743" w:hanging="180"/>
      </w:pPr>
    </w:lvl>
    <w:lvl w:ilvl="3" w:tplc="0410000F" w:tentative="1">
      <w:start w:val="1"/>
      <w:numFmt w:val="decimal"/>
      <w:lvlText w:val="%4."/>
      <w:lvlJc w:val="left"/>
      <w:pPr>
        <w:ind w:left="2463" w:hanging="360"/>
      </w:pPr>
    </w:lvl>
    <w:lvl w:ilvl="4" w:tplc="04100019" w:tentative="1">
      <w:start w:val="1"/>
      <w:numFmt w:val="lowerLetter"/>
      <w:lvlText w:val="%5."/>
      <w:lvlJc w:val="left"/>
      <w:pPr>
        <w:ind w:left="3183" w:hanging="360"/>
      </w:pPr>
    </w:lvl>
    <w:lvl w:ilvl="5" w:tplc="0410001B" w:tentative="1">
      <w:start w:val="1"/>
      <w:numFmt w:val="lowerRoman"/>
      <w:lvlText w:val="%6."/>
      <w:lvlJc w:val="right"/>
      <w:pPr>
        <w:ind w:left="3903" w:hanging="180"/>
      </w:pPr>
    </w:lvl>
    <w:lvl w:ilvl="6" w:tplc="0410000F" w:tentative="1">
      <w:start w:val="1"/>
      <w:numFmt w:val="decimal"/>
      <w:lvlText w:val="%7."/>
      <w:lvlJc w:val="left"/>
      <w:pPr>
        <w:ind w:left="4623" w:hanging="360"/>
      </w:pPr>
    </w:lvl>
    <w:lvl w:ilvl="7" w:tplc="04100019" w:tentative="1">
      <w:start w:val="1"/>
      <w:numFmt w:val="lowerLetter"/>
      <w:lvlText w:val="%8."/>
      <w:lvlJc w:val="left"/>
      <w:pPr>
        <w:ind w:left="5343" w:hanging="360"/>
      </w:pPr>
    </w:lvl>
    <w:lvl w:ilvl="8" w:tplc="0410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340146B7"/>
    <w:multiLevelType w:val="hybridMultilevel"/>
    <w:tmpl w:val="4C666C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D137E8"/>
    <w:multiLevelType w:val="hybridMultilevel"/>
    <w:tmpl w:val="DBDC25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07E2B"/>
    <w:multiLevelType w:val="hybridMultilevel"/>
    <w:tmpl w:val="F410CB1A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>
    <w:nsid w:val="6B591480"/>
    <w:multiLevelType w:val="hybridMultilevel"/>
    <w:tmpl w:val="5D40CD7C"/>
    <w:lvl w:ilvl="0" w:tplc="0410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3">
    <w:nsid w:val="719E1CB3"/>
    <w:multiLevelType w:val="hybridMultilevel"/>
    <w:tmpl w:val="A1744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D5C"/>
    <w:rsid w:val="000001BA"/>
    <w:rsid w:val="000073B9"/>
    <w:rsid w:val="00016FF4"/>
    <w:rsid w:val="00042969"/>
    <w:rsid w:val="00056ED9"/>
    <w:rsid w:val="00064F0D"/>
    <w:rsid w:val="000A3841"/>
    <w:rsid w:val="000C5EFF"/>
    <w:rsid w:val="000D05FD"/>
    <w:rsid w:val="00106C53"/>
    <w:rsid w:val="00114E49"/>
    <w:rsid w:val="001616B0"/>
    <w:rsid w:val="001772B7"/>
    <w:rsid w:val="00190B62"/>
    <w:rsid w:val="001A5A9C"/>
    <w:rsid w:val="001B7784"/>
    <w:rsid w:val="001C33DA"/>
    <w:rsid w:val="001C73F2"/>
    <w:rsid w:val="001D3E57"/>
    <w:rsid w:val="001E0C51"/>
    <w:rsid w:val="001F25D3"/>
    <w:rsid w:val="00231246"/>
    <w:rsid w:val="00246230"/>
    <w:rsid w:val="00290C28"/>
    <w:rsid w:val="002915C4"/>
    <w:rsid w:val="0029484A"/>
    <w:rsid w:val="00297D3C"/>
    <w:rsid w:val="002A0080"/>
    <w:rsid w:val="00301046"/>
    <w:rsid w:val="00323ED0"/>
    <w:rsid w:val="00336676"/>
    <w:rsid w:val="00336E36"/>
    <w:rsid w:val="00351135"/>
    <w:rsid w:val="00384AB2"/>
    <w:rsid w:val="00393054"/>
    <w:rsid w:val="003A585B"/>
    <w:rsid w:val="003B3A03"/>
    <w:rsid w:val="003C182B"/>
    <w:rsid w:val="003F064D"/>
    <w:rsid w:val="003F6CCD"/>
    <w:rsid w:val="004066EE"/>
    <w:rsid w:val="004156D7"/>
    <w:rsid w:val="00433D29"/>
    <w:rsid w:val="00451E8F"/>
    <w:rsid w:val="00456AC9"/>
    <w:rsid w:val="00476DEA"/>
    <w:rsid w:val="00477F66"/>
    <w:rsid w:val="00485A2F"/>
    <w:rsid w:val="00490B46"/>
    <w:rsid w:val="004A41AC"/>
    <w:rsid w:val="004D3964"/>
    <w:rsid w:val="004D4192"/>
    <w:rsid w:val="004D7EF7"/>
    <w:rsid w:val="00501F5E"/>
    <w:rsid w:val="00506CC8"/>
    <w:rsid w:val="00507DCE"/>
    <w:rsid w:val="00541A4F"/>
    <w:rsid w:val="005666FE"/>
    <w:rsid w:val="00574AB5"/>
    <w:rsid w:val="005C2F39"/>
    <w:rsid w:val="005C3A6D"/>
    <w:rsid w:val="005D23E8"/>
    <w:rsid w:val="005E0510"/>
    <w:rsid w:val="00646530"/>
    <w:rsid w:val="006533AC"/>
    <w:rsid w:val="00674D02"/>
    <w:rsid w:val="00675838"/>
    <w:rsid w:val="006836A4"/>
    <w:rsid w:val="00685DA7"/>
    <w:rsid w:val="006C3072"/>
    <w:rsid w:val="006C7A4B"/>
    <w:rsid w:val="006D427F"/>
    <w:rsid w:val="00714474"/>
    <w:rsid w:val="00736C9C"/>
    <w:rsid w:val="00742D46"/>
    <w:rsid w:val="00744E5D"/>
    <w:rsid w:val="00751DEC"/>
    <w:rsid w:val="00784EB9"/>
    <w:rsid w:val="00785173"/>
    <w:rsid w:val="0078662A"/>
    <w:rsid w:val="00787701"/>
    <w:rsid w:val="00796655"/>
    <w:rsid w:val="007B608C"/>
    <w:rsid w:val="007C6A83"/>
    <w:rsid w:val="007D4028"/>
    <w:rsid w:val="007E5AC1"/>
    <w:rsid w:val="007F0111"/>
    <w:rsid w:val="0080595B"/>
    <w:rsid w:val="0083186D"/>
    <w:rsid w:val="00833025"/>
    <w:rsid w:val="008517FA"/>
    <w:rsid w:val="00854DCE"/>
    <w:rsid w:val="00854F7E"/>
    <w:rsid w:val="0087599C"/>
    <w:rsid w:val="00894445"/>
    <w:rsid w:val="00897806"/>
    <w:rsid w:val="008B27F1"/>
    <w:rsid w:val="008B55DF"/>
    <w:rsid w:val="008E7DBA"/>
    <w:rsid w:val="008F2926"/>
    <w:rsid w:val="00945634"/>
    <w:rsid w:val="00963BF8"/>
    <w:rsid w:val="009A1927"/>
    <w:rsid w:val="009D7A5F"/>
    <w:rsid w:val="00A016DF"/>
    <w:rsid w:val="00A131C2"/>
    <w:rsid w:val="00A42B58"/>
    <w:rsid w:val="00A559F0"/>
    <w:rsid w:val="00A6771E"/>
    <w:rsid w:val="00A70479"/>
    <w:rsid w:val="00A726FF"/>
    <w:rsid w:val="00AA0666"/>
    <w:rsid w:val="00AA241F"/>
    <w:rsid w:val="00AA75AE"/>
    <w:rsid w:val="00AB043F"/>
    <w:rsid w:val="00AC767D"/>
    <w:rsid w:val="00AD16F0"/>
    <w:rsid w:val="00AD229D"/>
    <w:rsid w:val="00AD48CD"/>
    <w:rsid w:val="00AE2275"/>
    <w:rsid w:val="00B12665"/>
    <w:rsid w:val="00B22373"/>
    <w:rsid w:val="00B475D5"/>
    <w:rsid w:val="00B70BC1"/>
    <w:rsid w:val="00B839E2"/>
    <w:rsid w:val="00BA0345"/>
    <w:rsid w:val="00BA631A"/>
    <w:rsid w:val="00BB79D2"/>
    <w:rsid w:val="00BC043D"/>
    <w:rsid w:val="00BC1981"/>
    <w:rsid w:val="00C467D5"/>
    <w:rsid w:val="00C51343"/>
    <w:rsid w:val="00C55021"/>
    <w:rsid w:val="00C70CC3"/>
    <w:rsid w:val="00C7599E"/>
    <w:rsid w:val="00C844DE"/>
    <w:rsid w:val="00CA4076"/>
    <w:rsid w:val="00CA7701"/>
    <w:rsid w:val="00CA7D94"/>
    <w:rsid w:val="00CC2C2B"/>
    <w:rsid w:val="00CC4392"/>
    <w:rsid w:val="00CD295A"/>
    <w:rsid w:val="00D02CA8"/>
    <w:rsid w:val="00D0481B"/>
    <w:rsid w:val="00D1247B"/>
    <w:rsid w:val="00D35790"/>
    <w:rsid w:val="00D5750D"/>
    <w:rsid w:val="00D61885"/>
    <w:rsid w:val="00D7088B"/>
    <w:rsid w:val="00D90A46"/>
    <w:rsid w:val="00DA7C48"/>
    <w:rsid w:val="00DC22CB"/>
    <w:rsid w:val="00DC2FF5"/>
    <w:rsid w:val="00E150CF"/>
    <w:rsid w:val="00E24A72"/>
    <w:rsid w:val="00E56487"/>
    <w:rsid w:val="00E64214"/>
    <w:rsid w:val="00E7459E"/>
    <w:rsid w:val="00E807B3"/>
    <w:rsid w:val="00E81D5C"/>
    <w:rsid w:val="00EB623D"/>
    <w:rsid w:val="00EC10E1"/>
    <w:rsid w:val="00EC2C27"/>
    <w:rsid w:val="00EF3482"/>
    <w:rsid w:val="00F055CC"/>
    <w:rsid w:val="00F207F1"/>
    <w:rsid w:val="00F64586"/>
    <w:rsid w:val="00F64E49"/>
    <w:rsid w:val="00F66383"/>
    <w:rsid w:val="00F8444F"/>
    <w:rsid w:val="00F84D0A"/>
    <w:rsid w:val="00F94516"/>
    <w:rsid w:val="00FB3075"/>
    <w:rsid w:val="00FD708F"/>
    <w:rsid w:val="00FE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FD37F-5956-4D7A-A061-0D7BA924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81D5C"/>
    <w:pPr>
      <w:spacing w:before="120" w:after="120"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81D5C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81D5C"/>
    <w:rPr>
      <w:rFonts w:eastAsiaTheme="majorEastAsia" w:cstheme="majorBidi"/>
      <w:b/>
      <w:sz w:val="24"/>
      <w:szCs w:val="32"/>
    </w:rPr>
  </w:style>
  <w:style w:type="paragraph" w:styleId="Paragrafoelenco">
    <w:name w:val="List Paragraph"/>
    <w:basedOn w:val="Normale"/>
    <w:uiPriority w:val="34"/>
    <w:qFormat/>
    <w:rsid w:val="00E81D5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1D5C"/>
    <w:rPr>
      <w:color w:val="0563C1" w:themeColor="hyperlink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81D5C"/>
    <w:pPr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E81D5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1D5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1D5C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nhideWhenUsed/>
    <w:rsid w:val="00E81D5C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rsid w:val="00E81D5C"/>
  </w:style>
  <w:style w:type="paragraph" w:styleId="Pidipagina">
    <w:name w:val="footer"/>
    <w:basedOn w:val="Normale"/>
    <w:link w:val="PidipaginaCarattere"/>
    <w:uiPriority w:val="99"/>
    <w:unhideWhenUsed/>
    <w:rsid w:val="00E81D5C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1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E163E-191C-4C5F-9FCE-A2BB68E2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1510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Maio</dc:creator>
  <cp:lastModifiedBy>User</cp:lastModifiedBy>
  <cp:revision>2</cp:revision>
  <dcterms:created xsi:type="dcterms:W3CDTF">2020-10-01T11:24:00Z</dcterms:created>
  <dcterms:modified xsi:type="dcterms:W3CDTF">2020-10-01T11:24:00Z</dcterms:modified>
</cp:coreProperties>
</file>