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DC5" w:rsidRDefault="00AA725D" w:rsidP="00916E08">
      <w:pPr>
        <w:spacing w:line="276" w:lineRule="auto"/>
        <w:contextualSpacing/>
        <w:jc w:val="center"/>
        <w:rPr>
          <w:rFonts w:ascii="Times New Roman" w:hAnsi="Times New Roman"/>
          <w:b/>
          <w:color w:val="000000"/>
          <w:sz w:val="24"/>
          <w:szCs w:val="24"/>
        </w:rPr>
      </w:pPr>
      <w:r w:rsidRPr="002E6E77">
        <w:rPr>
          <w:rFonts w:ascii="Times New Roman" w:hAnsi="Times New Roman"/>
          <w:b/>
          <w:color w:val="000000"/>
          <w:sz w:val="24"/>
          <w:szCs w:val="24"/>
        </w:rPr>
        <w:t xml:space="preserve">Decreto del Direttore </w:t>
      </w:r>
      <w:r w:rsidR="00EE38AF" w:rsidRPr="002E6E77">
        <w:rPr>
          <w:rFonts w:ascii="Times New Roman" w:hAnsi="Times New Roman"/>
          <w:b/>
          <w:color w:val="000000"/>
          <w:sz w:val="24"/>
          <w:szCs w:val="24"/>
        </w:rPr>
        <w:t xml:space="preserve">n. </w:t>
      </w:r>
      <w:r w:rsidR="00C503FD" w:rsidRPr="002E6E77">
        <w:rPr>
          <w:rFonts w:ascii="Times New Roman" w:hAnsi="Times New Roman"/>
          <w:b/>
          <w:color w:val="000000"/>
          <w:sz w:val="24"/>
          <w:szCs w:val="24"/>
        </w:rPr>
        <w:t>3</w:t>
      </w:r>
      <w:r w:rsidR="00C7063D" w:rsidRPr="002E6E77">
        <w:rPr>
          <w:rFonts w:ascii="Times New Roman" w:hAnsi="Times New Roman"/>
          <w:b/>
          <w:color w:val="000000"/>
          <w:sz w:val="24"/>
          <w:szCs w:val="24"/>
        </w:rPr>
        <w:t>4</w:t>
      </w:r>
      <w:r w:rsidRPr="002E6E77">
        <w:rPr>
          <w:rFonts w:ascii="Times New Roman" w:hAnsi="Times New Roman"/>
          <w:b/>
          <w:color w:val="000000"/>
          <w:sz w:val="24"/>
          <w:szCs w:val="24"/>
        </w:rPr>
        <w:t xml:space="preserve"> del </w:t>
      </w:r>
      <w:r w:rsidR="00C7063D" w:rsidRPr="002E6E77">
        <w:rPr>
          <w:rFonts w:ascii="Times New Roman" w:hAnsi="Times New Roman"/>
          <w:b/>
          <w:color w:val="000000"/>
          <w:sz w:val="24"/>
          <w:szCs w:val="24"/>
        </w:rPr>
        <w:t>15</w:t>
      </w:r>
      <w:r w:rsidR="00EE38AF" w:rsidRPr="002E6E77">
        <w:rPr>
          <w:rFonts w:ascii="Times New Roman" w:hAnsi="Times New Roman"/>
          <w:b/>
          <w:color w:val="000000"/>
          <w:sz w:val="24"/>
          <w:szCs w:val="24"/>
        </w:rPr>
        <w:t>/</w:t>
      </w:r>
      <w:r w:rsidR="00C503FD" w:rsidRPr="002E6E77">
        <w:rPr>
          <w:rFonts w:ascii="Times New Roman" w:hAnsi="Times New Roman"/>
          <w:b/>
          <w:color w:val="000000"/>
          <w:sz w:val="24"/>
          <w:szCs w:val="24"/>
        </w:rPr>
        <w:t>10</w:t>
      </w:r>
      <w:r w:rsidRPr="002E6E77">
        <w:rPr>
          <w:rFonts w:ascii="Times New Roman" w:hAnsi="Times New Roman"/>
          <w:b/>
          <w:color w:val="000000"/>
          <w:sz w:val="24"/>
          <w:szCs w:val="24"/>
        </w:rPr>
        <w:t>/2020</w:t>
      </w:r>
    </w:p>
    <w:p w:rsidR="002E6E77" w:rsidRPr="002E6E77" w:rsidRDefault="002E6E77" w:rsidP="00916E08">
      <w:pPr>
        <w:spacing w:line="276" w:lineRule="auto"/>
        <w:contextualSpacing/>
        <w:jc w:val="center"/>
        <w:rPr>
          <w:rFonts w:ascii="Times New Roman" w:hAnsi="Times New Roman"/>
          <w:b/>
          <w:color w:val="000000"/>
          <w:sz w:val="24"/>
          <w:szCs w:val="24"/>
        </w:rPr>
      </w:pPr>
    </w:p>
    <w:tbl>
      <w:tblPr>
        <w:tblW w:w="19494" w:type="dxa"/>
        <w:tblInd w:w="-5" w:type="dxa"/>
        <w:tblLook w:val="04A0" w:firstRow="1" w:lastRow="0" w:firstColumn="1" w:lastColumn="0" w:noHBand="0" w:noVBand="1"/>
      </w:tblPr>
      <w:tblGrid>
        <w:gridCol w:w="1311"/>
        <w:gridCol w:w="672"/>
        <w:gridCol w:w="7757"/>
        <w:gridCol w:w="118"/>
        <w:gridCol w:w="9636"/>
      </w:tblGrid>
      <w:tr w:rsidR="00EA5DC5" w:rsidRPr="002D3410" w:rsidTr="004C5DF6">
        <w:trPr>
          <w:gridAfter w:val="2"/>
          <w:wAfter w:w="9754" w:type="dxa"/>
          <w:trHeight w:val="761"/>
        </w:trPr>
        <w:tc>
          <w:tcPr>
            <w:tcW w:w="1311" w:type="dxa"/>
            <w:shd w:val="clear" w:color="auto" w:fill="auto"/>
          </w:tcPr>
          <w:p w:rsidR="00EA5DC5" w:rsidRPr="002D3410" w:rsidRDefault="00EA5DC5" w:rsidP="002D3410">
            <w:pPr>
              <w:autoSpaceDE w:val="0"/>
              <w:spacing w:line="276" w:lineRule="auto"/>
              <w:rPr>
                <w:rFonts w:ascii="Times New Roman" w:hAnsi="Times New Roman"/>
                <w:b/>
                <w:bCs/>
                <w:iCs/>
                <w:sz w:val="22"/>
                <w:szCs w:val="22"/>
              </w:rPr>
            </w:pPr>
            <w:r w:rsidRPr="002D3410">
              <w:rPr>
                <w:rFonts w:ascii="Times New Roman" w:hAnsi="Times New Roman"/>
                <w:b/>
                <w:sz w:val="22"/>
                <w:szCs w:val="22"/>
              </w:rPr>
              <w:t>Oggetto:</w:t>
            </w:r>
          </w:p>
        </w:tc>
        <w:tc>
          <w:tcPr>
            <w:tcW w:w="8429" w:type="dxa"/>
            <w:gridSpan w:val="2"/>
            <w:shd w:val="clear" w:color="auto" w:fill="auto"/>
          </w:tcPr>
          <w:p w:rsidR="00EA5DC5" w:rsidRPr="002D3410" w:rsidRDefault="00EA5DC5" w:rsidP="00846F8F">
            <w:pPr>
              <w:autoSpaceDE w:val="0"/>
              <w:spacing w:line="276" w:lineRule="auto"/>
              <w:rPr>
                <w:rFonts w:ascii="Times New Roman" w:hAnsi="Times New Roman"/>
                <w:bCs/>
                <w:i/>
                <w:sz w:val="22"/>
                <w:szCs w:val="22"/>
              </w:rPr>
            </w:pPr>
            <w:r w:rsidRPr="002D3410">
              <w:rPr>
                <w:rFonts w:ascii="Times New Roman" w:hAnsi="Times New Roman"/>
                <w:b/>
                <w:bCs/>
                <w:sz w:val="22"/>
                <w:szCs w:val="22"/>
              </w:rPr>
              <w:t xml:space="preserve">Determina per l’affidamento diretto di </w:t>
            </w:r>
            <w:r w:rsidR="00846F8F">
              <w:rPr>
                <w:rFonts w:ascii="Times New Roman" w:hAnsi="Times New Roman"/>
                <w:b/>
                <w:bCs/>
                <w:sz w:val="22"/>
                <w:szCs w:val="22"/>
              </w:rPr>
              <w:t>fornitura</w:t>
            </w:r>
            <w:r w:rsidRPr="002D3410">
              <w:rPr>
                <w:rFonts w:ascii="Times New Roman" w:hAnsi="Times New Roman"/>
                <w:b/>
                <w:bCs/>
                <w:sz w:val="22"/>
                <w:szCs w:val="22"/>
              </w:rPr>
              <w:t>, ai sensi dell’art. 36, comma 2, lettera a) del D.Lgs. 50/2016, per un importo contrattuale pari a €</w:t>
            </w:r>
            <w:r w:rsidR="00D25E52" w:rsidRPr="002D3410">
              <w:rPr>
                <w:rFonts w:ascii="Times New Roman" w:hAnsi="Times New Roman"/>
                <w:b/>
                <w:bCs/>
                <w:sz w:val="22"/>
                <w:szCs w:val="22"/>
              </w:rPr>
              <w:t xml:space="preserve"> </w:t>
            </w:r>
            <w:r w:rsidR="00C7063D">
              <w:rPr>
                <w:rFonts w:ascii="Times New Roman" w:hAnsi="Times New Roman"/>
                <w:b/>
                <w:bCs/>
                <w:sz w:val="22"/>
                <w:szCs w:val="22"/>
              </w:rPr>
              <w:t>429,00</w:t>
            </w:r>
            <w:r w:rsidR="00C503FD">
              <w:rPr>
                <w:rFonts w:ascii="Times New Roman" w:hAnsi="Times New Roman"/>
                <w:b/>
                <w:bCs/>
                <w:sz w:val="22"/>
                <w:szCs w:val="22"/>
              </w:rPr>
              <w:t xml:space="preserve"> (IVA esclusa)</w:t>
            </w:r>
            <w:r w:rsidR="00F719BC">
              <w:rPr>
                <w:rFonts w:ascii="Times New Roman" w:hAnsi="Times New Roman"/>
                <w:b/>
                <w:bCs/>
                <w:sz w:val="22"/>
                <w:szCs w:val="22"/>
              </w:rPr>
              <w:t xml:space="preserve">, </w:t>
            </w:r>
            <w:r w:rsidRPr="002D3410">
              <w:rPr>
                <w:rFonts w:ascii="Times New Roman" w:hAnsi="Times New Roman"/>
                <w:b/>
                <w:bCs/>
                <w:sz w:val="22"/>
                <w:szCs w:val="22"/>
              </w:rPr>
              <w:t>CIG</w:t>
            </w:r>
            <w:r w:rsidR="00D25E52" w:rsidRPr="002D3410">
              <w:rPr>
                <w:rFonts w:ascii="Times New Roman" w:hAnsi="Times New Roman"/>
                <w:b/>
                <w:bCs/>
                <w:sz w:val="22"/>
                <w:szCs w:val="22"/>
              </w:rPr>
              <w:t xml:space="preserve"> </w:t>
            </w:r>
            <w:r w:rsidR="00C7063D">
              <w:rPr>
                <w:rFonts w:ascii="Times New Roman" w:hAnsi="Times New Roman"/>
                <w:b/>
                <w:kern w:val="0"/>
                <w:sz w:val="22"/>
                <w:szCs w:val="22"/>
              </w:rPr>
              <w:t>Z0A2ED3612</w:t>
            </w:r>
          </w:p>
        </w:tc>
      </w:tr>
      <w:tr w:rsidR="00EA5DC5" w:rsidRPr="002D3410" w:rsidTr="004C5DF6">
        <w:tc>
          <w:tcPr>
            <w:tcW w:w="9858" w:type="dxa"/>
            <w:gridSpan w:val="4"/>
            <w:shd w:val="clear" w:color="auto" w:fill="auto"/>
          </w:tcPr>
          <w:p w:rsidR="00EA5DC5" w:rsidRPr="002D3410" w:rsidRDefault="00EA5DC5" w:rsidP="00B237F8">
            <w:pPr>
              <w:spacing w:line="276" w:lineRule="auto"/>
              <w:ind w:left="-57"/>
              <w:jc w:val="center"/>
              <w:rPr>
                <w:rFonts w:ascii="Times New Roman" w:hAnsi="Times New Roman"/>
                <w:b/>
                <w:sz w:val="22"/>
                <w:szCs w:val="22"/>
              </w:rPr>
            </w:pPr>
            <w:r w:rsidRPr="002D3410">
              <w:rPr>
                <w:rFonts w:ascii="Times New Roman" w:hAnsi="Times New Roman"/>
                <w:b/>
                <w:sz w:val="22"/>
                <w:szCs w:val="22"/>
              </w:rPr>
              <w:t xml:space="preserve">Il DIRETTORE DEL </w:t>
            </w:r>
            <w:r w:rsidR="00EE38AF" w:rsidRPr="002D3410">
              <w:rPr>
                <w:rFonts w:ascii="Times New Roman" w:hAnsi="Times New Roman"/>
                <w:b/>
                <w:sz w:val="22"/>
                <w:szCs w:val="22"/>
              </w:rPr>
              <w:t>CIRAM</w:t>
            </w:r>
          </w:p>
          <w:p w:rsidR="00AD0A85" w:rsidRPr="002D3410" w:rsidRDefault="00AD0A85" w:rsidP="002D3410">
            <w:pPr>
              <w:spacing w:line="276" w:lineRule="auto"/>
              <w:ind w:left="-57"/>
              <w:rPr>
                <w:rFonts w:ascii="Times New Roman" w:hAnsi="Times New Roman"/>
                <w:b/>
                <w:sz w:val="22"/>
                <w:szCs w:val="22"/>
              </w:rPr>
            </w:pPr>
          </w:p>
        </w:tc>
        <w:tc>
          <w:tcPr>
            <w:tcW w:w="9636" w:type="dxa"/>
          </w:tcPr>
          <w:p w:rsidR="00EA5DC5" w:rsidRPr="002D3410" w:rsidRDefault="00EA5DC5" w:rsidP="002D3410">
            <w:pPr>
              <w:spacing w:line="276" w:lineRule="auto"/>
              <w:ind w:left="-57"/>
              <w:rPr>
                <w:rFonts w:ascii="Times New Roman" w:hAnsi="Times New Roman"/>
                <w:b/>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il D. Lgs. 50 del 18 aprile 2016 e s.m.i.;</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D3410">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C7063D">
            <w:pPr>
              <w:spacing w:line="276" w:lineRule="auto"/>
              <w:rPr>
                <w:rFonts w:ascii="Times New Roman" w:hAnsi="Times New Roman"/>
                <w:b/>
                <w:sz w:val="22"/>
                <w:szCs w:val="22"/>
              </w:rPr>
            </w:pPr>
            <w:r w:rsidRPr="002D3410">
              <w:rPr>
                <w:rFonts w:ascii="Times New Roman" w:hAnsi="Times New Roman"/>
                <w:b/>
                <w:sz w:val="22"/>
                <w:szCs w:val="22"/>
              </w:rPr>
              <w:t>VIST</w:t>
            </w:r>
            <w:r w:rsidR="00C7063D">
              <w:rPr>
                <w:rFonts w:ascii="Times New Roman" w:hAnsi="Times New Roman"/>
                <w:b/>
                <w:sz w:val="22"/>
                <w:szCs w:val="22"/>
              </w:rPr>
              <w:t>E</w:t>
            </w:r>
            <w:r w:rsidRPr="002D3410">
              <w:rPr>
                <w:rFonts w:ascii="Times New Roman" w:hAnsi="Times New Roman"/>
                <w:b/>
                <w:sz w:val="22"/>
                <w:szCs w:val="22"/>
              </w:rPr>
              <w:t xml:space="preserve"> </w:t>
            </w:r>
          </w:p>
        </w:tc>
        <w:tc>
          <w:tcPr>
            <w:tcW w:w="7875" w:type="dxa"/>
            <w:gridSpan w:val="2"/>
            <w:shd w:val="clear" w:color="auto" w:fill="auto"/>
          </w:tcPr>
          <w:p w:rsidR="00EA5DC5" w:rsidRPr="002D3410" w:rsidRDefault="00C7063D" w:rsidP="002D3410">
            <w:pPr>
              <w:spacing w:line="276" w:lineRule="auto"/>
              <w:rPr>
                <w:rFonts w:ascii="Times New Roman" w:hAnsi="Times New Roman"/>
                <w:sz w:val="22"/>
                <w:szCs w:val="22"/>
              </w:rPr>
            </w:pPr>
            <w:r w:rsidRPr="00C7063D">
              <w:rPr>
                <w:rFonts w:ascii="Times New Roman" w:hAnsi="Times New Roman"/>
                <w:sz w:val="22"/>
                <w:szCs w:val="22"/>
              </w:rPr>
              <w:t>le Linee Guida ANAC n. 4, aggiornate al Decreto Legislativo 19 aprile 2017, n. 56 con delibera del Consiglio n. 206 del 1 marzo 2018, recanti «</w:t>
            </w:r>
            <w:r w:rsidRPr="00C7063D">
              <w:rPr>
                <w:rFonts w:ascii="Times New Roman" w:hAnsi="Times New Roman"/>
                <w:i/>
                <w:sz w:val="22"/>
                <w:szCs w:val="22"/>
              </w:rPr>
              <w:t>Procedure per l’affidamento dei contratti pubblici di importo inferiore alle soglie di rilevanza comunitaria, indagini di mercato e formazione e gestione degli elenchi di operatori economici</w:t>
            </w:r>
            <w:r w:rsidRPr="00C7063D">
              <w:rPr>
                <w:rFonts w:ascii="Times New Roman" w:hAnsi="Times New Roman"/>
                <w:sz w:val="22"/>
                <w:szCs w:val="22"/>
              </w:rPr>
              <w:t>», le quali hanno, tra l’altro, previsto che, ai fini della scelta dell’affidatario in via diretta, «[…]</w:t>
            </w:r>
            <w:r w:rsidRPr="00C7063D">
              <w:rPr>
                <w:rFonts w:ascii="Times New Roman" w:hAnsi="Times New Roman"/>
                <w:i/>
                <w:sz w:val="22"/>
                <w:szCs w:val="22"/>
              </w:rPr>
              <w:t xml:space="preserve"> la stazione appaltante può ricorrere alla comparazione dei listini di mercato, di offerte precedenti per commesse identiche o analoghe o all’analisi dei prezzi praticati ad altre amministrazioni.</w:t>
            </w:r>
            <w:r w:rsidRPr="00C7063D">
              <w:rPr>
                <w:rFonts w:ascii="Times New Roman" w:hAnsi="Times New Roman"/>
                <w:sz w:val="22"/>
                <w:szCs w:val="22"/>
              </w:rPr>
              <w:t xml:space="preserve"> </w:t>
            </w:r>
            <w:r w:rsidRPr="00C7063D">
              <w:rPr>
                <w:rFonts w:ascii="Times New Roman" w:hAnsi="Times New Roman"/>
                <w:i/>
                <w:sz w:val="22"/>
                <w:szCs w:val="22"/>
              </w:rPr>
              <w:t>In ogni caso, il confronto dei preventivi di spesa forniti da due o più operatori economici rappresenta una best practice anche alla luce del principio di concorrenza</w:t>
            </w:r>
            <w:r w:rsidRPr="00C7063D">
              <w:rPr>
                <w:rFonts w:ascii="Times New Roman" w:hAnsi="Times New Roman"/>
                <w:sz w:val="22"/>
                <w:szCs w:val="22"/>
              </w:rPr>
              <w:t>»;</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w:t>
            </w:r>
            <w:r w:rsidR="00ED1314" w:rsidRPr="002D3410">
              <w:rPr>
                <w:rFonts w:ascii="Times New Roman" w:hAnsi="Times New Roman"/>
                <w:b/>
                <w:sz w:val="22"/>
                <w:szCs w:val="22"/>
              </w:rPr>
              <w:t>A</w:t>
            </w:r>
          </w:p>
        </w:tc>
        <w:tc>
          <w:tcPr>
            <w:tcW w:w="7875" w:type="dxa"/>
            <w:gridSpan w:val="2"/>
            <w:shd w:val="clear" w:color="auto" w:fill="auto"/>
          </w:tcPr>
          <w:p w:rsidR="00EA5DC5" w:rsidRPr="002D3410" w:rsidRDefault="00AA725D" w:rsidP="00B8282C">
            <w:pPr>
              <w:spacing w:line="276" w:lineRule="auto"/>
              <w:rPr>
                <w:rFonts w:ascii="Times New Roman" w:hAnsi="Times New Roman"/>
                <w:b/>
                <w:bCs/>
                <w:iCs/>
                <w:sz w:val="22"/>
                <w:szCs w:val="22"/>
              </w:rPr>
            </w:pPr>
            <w:r w:rsidRPr="002D3410">
              <w:rPr>
                <w:rFonts w:ascii="Times New Roman" w:hAnsi="Times New Roman"/>
                <w:sz w:val="22"/>
                <w:szCs w:val="22"/>
              </w:rPr>
              <w:t>l</w:t>
            </w:r>
            <w:r w:rsidR="00BF276E" w:rsidRPr="002D3410">
              <w:rPr>
                <w:rFonts w:ascii="Times New Roman" w:hAnsi="Times New Roman"/>
                <w:sz w:val="22"/>
                <w:szCs w:val="22"/>
              </w:rPr>
              <w:t>a nota del</w:t>
            </w:r>
            <w:r w:rsidR="00EE38AF" w:rsidRPr="002D3410">
              <w:rPr>
                <w:rFonts w:ascii="Times New Roman" w:hAnsi="Times New Roman"/>
                <w:sz w:val="22"/>
                <w:szCs w:val="22"/>
              </w:rPr>
              <w:t xml:space="preserve"> prof.</w:t>
            </w:r>
            <w:r w:rsidR="00B8282C">
              <w:rPr>
                <w:rFonts w:ascii="Times New Roman" w:hAnsi="Times New Roman"/>
                <w:sz w:val="22"/>
                <w:szCs w:val="22"/>
              </w:rPr>
              <w:t xml:space="preserve"> Romano</w:t>
            </w:r>
            <w:r w:rsidR="00AD0A85" w:rsidRPr="002D3410">
              <w:rPr>
                <w:rFonts w:ascii="Times New Roman" w:hAnsi="Times New Roman"/>
                <w:sz w:val="22"/>
                <w:szCs w:val="22"/>
              </w:rPr>
              <w:t xml:space="preserve"> nella quale dichiar</w:t>
            </w:r>
            <w:r w:rsidR="00F719BC">
              <w:rPr>
                <w:rFonts w:ascii="Times New Roman" w:hAnsi="Times New Roman"/>
                <w:sz w:val="22"/>
                <w:szCs w:val="22"/>
              </w:rPr>
              <w:t xml:space="preserve">a che </w:t>
            </w:r>
            <w:r w:rsidR="00B8282C">
              <w:rPr>
                <w:rFonts w:ascii="Times New Roman" w:hAnsi="Times New Roman"/>
                <w:sz w:val="22"/>
                <w:szCs w:val="22"/>
              </w:rPr>
              <w:t>trattasi si affidamento per un importo minore di € 1000,00, per il quale si è provveduto a negoziazione, diretta con i fornitori, L’affidamento non è “frazionamento artificioso della spesa”, cos’ come individuato dall’art. 31, comma 11 del D. Lgs n° 50/2016</w:t>
            </w:r>
            <w:r w:rsidR="00C503FD">
              <w:rPr>
                <w:rFonts w:ascii="Times New Roman" w:hAnsi="Times New Roman"/>
                <w:bCs/>
                <w:i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Default="00F719BC" w:rsidP="00F719BC">
            <w:pPr>
              <w:spacing w:line="276" w:lineRule="auto"/>
              <w:ind w:right="-81"/>
              <w:rPr>
                <w:rFonts w:ascii="Times New Roman" w:hAnsi="Times New Roman"/>
                <w:b/>
                <w:sz w:val="22"/>
                <w:szCs w:val="22"/>
              </w:rPr>
            </w:pPr>
            <w:r>
              <w:rPr>
                <w:rFonts w:ascii="Times New Roman" w:hAnsi="Times New Roman"/>
                <w:b/>
                <w:sz w:val="22"/>
                <w:szCs w:val="22"/>
              </w:rPr>
              <w:t xml:space="preserve">TENUTO </w:t>
            </w:r>
            <w:r w:rsidR="00EA5DC5" w:rsidRPr="002D3410">
              <w:rPr>
                <w:rFonts w:ascii="Times New Roman" w:hAnsi="Times New Roman"/>
                <w:b/>
                <w:sz w:val="22"/>
                <w:szCs w:val="22"/>
              </w:rPr>
              <w:t>CONTO</w:t>
            </w: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Default="00C37AEF" w:rsidP="00F719BC">
            <w:pPr>
              <w:spacing w:line="276" w:lineRule="auto"/>
              <w:ind w:right="-81"/>
              <w:rPr>
                <w:rFonts w:ascii="Times New Roman" w:hAnsi="Times New Roman"/>
                <w:b/>
                <w:sz w:val="22"/>
                <w:szCs w:val="22"/>
              </w:rPr>
            </w:pPr>
          </w:p>
          <w:p w:rsidR="00C37AEF" w:rsidRPr="002D3410" w:rsidRDefault="00C37AEF" w:rsidP="00F719BC">
            <w:pPr>
              <w:spacing w:line="276" w:lineRule="auto"/>
              <w:ind w:right="-81"/>
              <w:rPr>
                <w:rFonts w:ascii="Times New Roman" w:hAnsi="Times New Roman"/>
                <w:b/>
                <w:sz w:val="22"/>
                <w:szCs w:val="22"/>
              </w:rPr>
            </w:pPr>
            <w:r>
              <w:rPr>
                <w:rFonts w:ascii="Times New Roman" w:hAnsi="Times New Roman"/>
                <w:b/>
                <w:sz w:val="22"/>
                <w:szCs w:val="22"/>
              </w:rPr>
              <w:t>TENUTO CONTO</w:t>
            </w:r>
          </w:p>
        </w:tc>
        <w:tc>
          <w:tcPr>
            <w:tcW w:w="7875" w:type="dxa"/>
            <w:gridSpan w:val="2"/>
            <w:shd w:val="clear" w:color="auto" w:fill="auto"/>
          </w:tcPr>
          <w:p w:rsidR="001D0C4E" w:rsidRDefault="00F719BC" w:rsidP="002D3410">
            <w:pPr>
              <w:spacing w:line="276" w:lineRule="auto"/>
              <w:ind w:left="-57"/>
              <w:rPr>
                <w:rFonts w:ascii="Times New Roman" w:hAnsi="Times New Roman"/>
                <w:sz w:val="22"/>
                <w:szCs w:val="22"/>
              </w:rPr>
            </w:pPr>
            <w:r>
              <w:rPr>
                <w:rFonts w:ascii="Times New Roman" w:hAnsi="Times New Roman"/>
                <w:sz w:val="22"/>
                <w:szCs w:val="22"/>
              </w:rPr>
              <w:lastRenderedPageBreak/>
              <w:t xml:space="preserve"> </w:t>
            </w:r>
            <w:r w:rsidR="001D0C4E">
              <w:rPr>
                <w:rFonts w:ascii="Times New Roman" w:hAnsi="Times New Roman"/>
                <w:sz w:val="22"/>
                <w:szCs w:val="22"/>
              </w:rPr>
              <w:t>che l’Amministrazione ai sensi di quanto previsto dalle Linee Guida n° 4</w:t>
            </w:r>
          </w:p>
          <w:p w:rsidR="001D0C4E" w:rsidRDefault="001D0C4E" w:rsidP="001D0C4E">
            <w:pPr>
              <w:pStyle w:val="Paragrafoelenco"/>
              <w:numPr>
                <w:ilvl w:val="0"/>
                <w:numId w:val="11"/>
              </w:numPr>
              <w:spacing w:line="276" w:lineRule="auto"/>
              <w:rPr>
                <w:rFonts w:ascii="Times New Roman" w:hAnsi="Times New Roman"/>
                <w:sz w:val="22"/>
                <w:szCs w:val="22"/>
              </w:rPr>
            </w:pPr>
            <w:r w:rsidRPr="001D0C4E">
              <w:rPr>
                <w:rFonts w:ascii="Times New Roman" w:hAnsi="Times New Roman"/>
                <w:sz w:val="22"/>
                <w:szCs w:val="22"/>
              </w:rPr>
              <w:t>ha espletato prima della stipula del contratto delle verifiche volte ad accertare il possesso dei requisiti di moralità ( consultazione casellario ANAC e verifica del documento unico di regolarità contributiva (DURC))</w:t>
            </w:r>
            <w:r>
              <w:rPr>
                <w:rFonts w:ascii="Times New Roman" w:hAnsi="Times New Roman"/>
                <w:sz w:val="22"/>
                <w:szCs w:val="22"/>
              </w:rPr>
              <w:t>;</w:t>
            </w:r>
          </w:p>
          <w:p w:rsidR="001D0C4E" w:rsidRPr="001D0C4E" w:rsidRDefault="001D0C4E" w:rsidP="001D0C4E">
            <w:pPr>
              <w:pStyle w:val="Paragrafoelenco"/>
              <w:numPr>
                <w:ilvl w:val="0"/>
                <w:numId w:val="11"/>
              </w:numPr>
              <w:spacing w:line="276" w:lineRule="auto"/>
              <w:rPr>
                <w:rFonts w:ascii="Times New Roman" w:hAnsi="Times New Roman"/>
                <w:sz w:val="22"/>
                <w:szCs w:val="22"/>
              </w:rPr>
            </w:pPr>
            <w:r w:rsidRPr="001D0C4E">
              <w:rPr>
                <w:rFonts w:ascii="Times New Roman" w:hAnsi="Times New Roman"/>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rsidR="001D0C4E" w:rsidRPr="001D0C4E" w:rsidRDefault="001D0C4E" w:rsidP="001D0C4E">
            <w:pPr>
              <w:pStyle w:val="Paragrafoelenco"/>
              <w:numPr>
                <w:ilvl w:val="0"/>
                <w:numId w:val="11"/>
              </w:numPr>
              <w:spacing w:line="276" w:lineRule="auto"/>
              <w:rPr>
                <w:rFonts w:ascii="Times New Roman" w:hAnsi="Times New Roman"/>
                <w:sz w:val="22"/>
                <w:szCs w:val="22"/>
              </w:rPr>
            </w:pPr>
            <w:r>
              <w:rPr>
                <w:rFonts w:ascii="Times New Roman" w:hAnsi="Times New Roman"/>
                <w:sz w:val="22"/>
                <w:szCs w:val="22"/>
              </w:rPr>
              <w:lastRenderedPageBreak/>
              <w:t>Inserirà nel contratto che sarà stipulato specifiche clausole che prevedono, in caso di successivo accertamento del difetto del possesso dei requisiti prescritti la risoluzione del contratto medesimo stesso e il pagamento  in tal caso del corrispettivo pattuito solo con riferimento alle prestazioni già eseguite e nei limiti dell’utilità ricevuta;</w:t>
            </w:r>
          </w:p>
          <w:p w:rsidR="00EA5DC5" w:rsidRPr="002D3410" w:rsidRDefault="00C37AEF" w:rsidP="00C37AEF">
            <w:pPr>
              <w:spacing w:line="276" w:lineRule="auto"/>
              <w:rPr>
                <w:rFonts w:ascii="Times New Roman" w:hAnsi="Times New Roman"/>
                <w:sz w:val="22"/>
                <w:szCs w:val="22"/>
              </w:rPr>
            </w:pPr>
            <w:r>
              <w:rPr>
                <w:rFonts w:ascii="Times New Roman" w:hAnsi="Times New Roman"/>
                <w:sz w:val="22"/>
                <w:szCs w:val="22"/>
              </w:rPr>
              <w:t xml:space="preserve">Che </w:t>
            </w:r>
            <w:r w:rsidR="005B3C69" w:rsidRPr="002D3410">
              <w:rPr>
                <w:rFonts w:ascii="Times New Roman" w:hAnsi="Times New Roman"/>
                <w:sz w:val="22"/>
                <w:szCs w:val="22"/>
              </w:rPr>
              <w:t>l’Operatore ha presentato apposita garanzia definitiva ai sensi dell’art. 103 del D.Lgs 50/126;</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l’art. 1, comma 3, del Decreto - Legge n. 95/2012, convertito nella Legge n. 135/2012, ai sensi del quale «</w:t>
            </w:r>
            <w:r w:rsidRPr="002D3410">
              <w:rPr>
                <w:rFonts w:ascii="Times New Roman" w:hAnsi="Times New Roman"/>
                <w:i/>
                <w:sz w:val="22"/>
                <w:szCs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2D3410">
              <w:rPr>
                <w:rFonts w:ascii="Times New Roman" w:hAnsi="Times New Roman"/>
                <w:sz w:val="22"/>
                <w:szCs w:val="22"/>
              </w:rPr>
              <w:t xml:space="preserve">»; </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eastAsia="Times" w:hAnsi="Times New Roman"/>
                <w:b/>
                <w:bCs/>
                <w:sz w:val="22"/>
                <w:szCs w:val="22"/>
              </w:rPr>
              <w:t>CONSIDERATO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2D3410">
              <w:rPr>
                <w:rFonts w:ascii="Times New Roman" w:eastAsia="Times" w:hAnsi="Times New Roman"/>
                <w:bCs/>
                <w:i/>
                <w:sz w:val="22"/>
                <w:szCs w:val="22"/>
              </w:rPr>
              <w:t>[o forniture]</w:t>
            </w:r>
            <w:r w:rsidRPr="002D3410">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2D3410" w:rsidRDefault="00EA5DC5" w:rsidP="002D3410">
            <w:pPr>
              <w:spacing w:line="276" w:lineRule="auto"/>
              <w:ind w:left="-57"/>
              <w:rPr>
                <w:rFonts w:ascii="Times New Roman" w:eastAsia="Times"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widowControl w:val="0"/>
              <w:spacing w:line="276" w:lineRule="auto"/>
              <w:rPr>
                <w:rFonts w:ascii="Times New Roman" w:eastAsia="Times" w:hAnsi="Times New Roman"/>
                <w:b/>
                <w:bCs/>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widowControl w:val="0"/>
              <w:spacing w:line="276" w:lineRule="auto"/>
              <w:rPr>
                <w:rFonts w:ascii="Times New Roman" w:eastAsia="Times" w:hAnsi="Times New Roman"/>
                <w:bCs/>
                <w:sz w:val="22"/>
                <w:szCs w:val="22"/>
              </w:rPr>
            </w:pPr>
            <w:r w:rsidRPr="002D3410">
              <w:rPr>
                <w:rFonts w:ascii="Times New Roman" w:hAnsi="Times New Roman"/>
                <w:sz w:val="22"/>
                <w:szCs w:val="22"/>
              </w:rPr>
              <w:t xml:space="preserve">che, per espressa previsione dell’art. 32, comma 10, lett. b) del D.Lgs. 50/2016, non si applica il termine dilatorio di </w:t>
            </w:r>
            <w:r w:rsidRPr="002D3410">
              <w:rPr>
                <w:rFonts w:ascii="Times New Roman" w:hAnsi="Times New Roman"/>
                <w:i/>
                <w:sz w:val="22"/>
                <w:szCs w:val="22"/>
              </w:rPr>
              <w:t xml:space="preserve">stand still </w:t>
            </w:r>
            <w:r w:rsidRPr="002D3410">
              <w:rPr>
                <w:rFonts w:ascii="Times New Roman" w:hAnsi="Times New Roman"/>
                <w:sz w:val="22"/>
                <w:szCs w:val="22"/>
              </w:rPr>
              <w:t>di 35 giorni per la stipula del contratto;</w:t>
            </w:r>
          </w:p>
        </w:tc>
        <w:tc>
          <w:tcPr>
            <w:tcW w:w="9636" w:type="dxa"/>
          </w:tcPr>
          <w:p w:rsidR="00EA5DC5" w:rsidRPr="002D3410" w:rsidRDefault="00EA5DC5" w:rsidP="002D3410">
            <w:pPr>
              <w:widowControl w:val="0"/>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l’art. 56 comma 2 del vigente Regolamento di Ateneo per l’Amministrazione, la Finanza e la Contabilità;</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Il vigente Piano Triennale per la Prevenzione della Corruzione e la Trasparenza</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bl>
    <w:p w:rsidR="00EA5DC5" w:rsidRPr="002D3410" w:rsidRDefault="00EA5DC5" w:rsidP="002D3410">
      <w:pPr>
        <w:spacing w:line="276" w:lineRule="auto"/>
        <w:rPr>
          <w:rFonts w:ascii="Times New Roman" w:hAnsi="Times New Roman"/>
          <w:sz w:val="22"/>
          <w:szCs w:val="22"/>
        </w:rPr>
      </w:pPr>
    </w:p>
    <w:p w:rsidR="00EA5DC5" w:rsidRPr="002D3410" w:rsidRDefault="00EA5DC5" w:rsidP="002D3410">
      <w:pPr>
        <w:spacing w:line="276" w:lineRule="auto"/>
        <w:jc w:val="center"/>
        <w:rPr>
          <w:rFonts w:ascii="Times New Roman" w:hAnsi="Times New Roman"/>
          <w:b/>
          <w:bCs/>
          <w:sz w:val="22"/>
          <w:szCs w:val="22"/>
        </w:rPr>
      </w:pPr>
      <w:r w:rsidRPr="002D3410">
        <w:rPr>
          <w:rFonts w:ascii="Times New Roman" w:hAnsi="Times New Roman"/>
          <w:b/>
          <w:bCs/>
          <w:sz w:val="22"/>
          <w:szCs w:val="22"/>
        </w:rPr>
        <w:t>DETERMINA</w:t>
      </w:r>
    </w:p>
    <w:p w:rsidR="00EA5DC5" w:rsidRPr="002D3410" w:rsidRDefault="00EA5DC5" w:rsidP="002D3410">
      <w:pPr>
        <w:suppressAutoHyphens/>
        <w:spacing w:line="276" w:lineRule="auto"/>
        <w:rPr>
          <w:rFonts w:ascii="Times New Roman" w:hAnsi="Times New Roman"/>
          <w:sz w:val="22"/>
          <w:szCs w:val="22"/>
          <w:lang w:eastAsia="zh-CN"/>
        </w:rPr>
      </w:pPr>
      <w:r w:rsidRPr="002D3410">
        <w:rPr>
          <w:rFonts w:ascii="Times New Roman" w:hAnsi="Times New Roman"/>
          <w:sz w:val="22"/>
          <w:szCs w:val="22"/>
          <w:lang w:eastAsia="zh-CN"/>
        </w:rPr>
        <w:t>Per i motivi espressi nella premessa, che si intendono integralmente richiamati:</w:t>
      </w:r>
    </w:p>
    <w:p w:rsidR="00EA5DC5" w:rsidRPr="00623982" w:rsidRDefault="00EA5DC5" w:rsidP="002D3410">
      <w:pPr>
        <w:pStyle w:val="Paragrafoelenco"/>
        <w:numPr>
          <w:ilvl w:val="0"/>
          <w:numId w:val="9"/>
        </w:numPr>
        <w:spacing w:before="120" w:after="120" w:line="276" w:lineRule="auto"/>
        <w:contextualSpacing w:val="0"/>
        <w:rPr>
          <w:rFonts w:ascii="Times New Roman" w:hAnsi="Times New Roman"/>
          <w:bCs/>
          <w:sz w:val="22"/>
          <w:szCs w:val="22"/>
        </w:rPr>
      </w:pPr>
      <w:bookmarkStart w:id="0" w:name="_Hlk52656244"/>
      <w:r w:rsidRPr="002D3410">
        <w:rPr>
          <w:rFonts w:ascii="Times New Roman" w:hAnsi="Times New Roman"/>
          <w:bCs/>
          <w:sz w:val="22"/>
          <w:szCs w:val="22"/>
        </w:rPr>
        <w:t xml:space="preserve">di autorizzare, ai sensi dell’art. 36, comma 2, lett. a) del D.Lgs. 50/2016, l’affidamento diretto </w:t>
      </w:r>
      <w:r w:rsidR="00623982" w:rsidRPr="002D3410">
        <w:rPr>
          <w:rFonts w:ascii="Times New Roman" w:hAnsi="Times New Roman"/>
          <w:bCs/>
          <w:sz w:val="22"/>
          <w:szCs w:val="22"/>
        </w:rPr>
        <w:t xml:space="preserve">alla </w:t>
      </w:r>
      <w:r w:rsidR="00C503FD" w:rsidRPr="00C503FD">
        <w:rPr>
          <w:rFonts w:ascii="Times New Roman" w:hAnsi="Times New Roman"/>
          <w:bCs/>
          <w:sz w:val="22"/>
          <w:szCs w:val="22"/>
        </w:rPr>
        <w:t xml:space="preserve">l’azienda </w:t>
      </w:r>
      <w:r w:rsidR="00C37AEF">
        <w:rPr>
          <w:rFonts w:ascii="Times New Roman" w:hAnsi="Times New Roman"/>
          <w:bCs/>
          <w:sz w:val="22"/>
          <w:szCs w:val="22"/>
        </w:rPr>
        <w:t>MERCK LIFE SCIENCE S.R.L.</w:t>
      </w:r>
      <w:r w:rsidR="00C503FD" w:rsidRPr="00C503FD">
        <w:rPr>
          <w:rFonts w:ascii="Times New Roman" w:hAnsi="Times New Roman"/>
          <w:bCs/>
          <w:sz w:val="22"/>
          <w:szCs w:val="22"/>
        </w:rPr>
        <w:t xml:space="preserve">, con sede legale in Milano (MI) alla </w:t>
      </w:r>
      <w:r w:rsidR="00C37AEF">
        <w:rPr>
          <w:rFonts w:ascii="Times New Roman" w:hAnsi="Times New Roman"/>
          <w:bCs/>
          <w:sz w:val="22"/>
          <w:szCs w:val="22"/>
        </w:rPr>
        <w:t>Via Monte Rosa</w:t>
      </w:r>
      <w:r w:rsidR="00C503FD" w:rsidRPr="00C503FD">
        <w:rPr>
          <w:rFonts w:ascii="Times New Roman" w:hAnsi="Times New Roman"/>
          <w:bCs/>
          <w:sz w:val="22"/>
          <w:szCs w:val="22"/>
        </w:rPr>
        <w:t xml:space="preserve">, </w:t>
      </w:r>
      <w:r w:rsidR="00C37AEF">
        <w:rPr>
          <w:rFonts w:ascii="Times New Roman" w:hAnsi="Times New Roman"/>
          <w:bCs/>
          <w:sz w:val="22"/>
          <w:szCs w:val="22"/>
        </w:rPr>
        <w:t>93</w:t>
      </w:r>
      <w:r w:rsidR="00C503FD" w:rsidRPr="00C503FD">
        <w:rPr>
          <w:rFonts w:ascii="Times New Roman" w:hAnsi="Times New Roman"/>
          <w:bCs/>
          <w:sz w:val="22"/>
          <w:szCs w:val="22"/>
        </w:rPr>
        <w:t>, cap. 2014</w:t>
      </w:r>
      <w:r w:rsidR="00C37AEF">
        <w:rPr>
          <w:rFonts w:ascii="Times New Roman" w:hAnsi="Times New Roman"/>
          <w:bCs/>
          <w:sz w:val="22"/>
          <w:szCs w:val="22"/>
        </w:rPr>
        <w:t>9</w:t>
      </w:r>
      <w:r w:rsidR="001F215E" w:rsidRPr="002D3410">
        <w:rPr>
          <w:rFonts w:ascii="Times New Roman" w:hAnsi="Times New Roman"/>
          <w:bCs/>
          <w:sz w:val="22"/>
          <w:szCs w:val="22"/>
        </w:rPr>
        <w:t xml:space="preserve"> </w:t>
      </w:r>
      <w:r w:rsidR="00623982" w:rsidRPr="002D3410">
        <w:rPr>
          <w:rFonts w:ascii="Times New Roman" w:hAnsi="Times New Roman"/>
          <w:bCs/>
          <w:iCs/>
          <w:sz w:val="22"/>
          <w:szCs w:val="22"/>
        </w:rPr>
        <w:t xml:space="preserve">del </w:t>
      </w:r>
      <w:r w:rsidR="00F719BC">
        <w:rPr>
          <w:rFonts w:ascii="Times New Roman" w:hAnsi="Times New Roman"/>
          <w:bCs/>
          <w:iCs/>
          <w:sz w:val="22"/>
          <w:szCs w:val="22"/>
        </w:rPr>
        <w:t>seguente servizio di fornitura</w:t>
      </w:r>
      <w:r w:rsidR="00C503FD">
        <w:rPr>
          <w:rFonts w:ascii="Times New Roman" w:hAnsi="Times New Roman"/>
          <w:bCs/>
          <w:iCs/>
          <w:sz w:val="22"/>
          <w:szCs w:val="22"/>
        </w:rPr>
        <w:t xml:space="preserve"> di materiale</w:t>
      </w:r>
      <w:r w:rsidR="006344AD" w:rsidRPr="002D3410">
        <w:rPr>
          <w:rFonts w:ascii="Times New Roman" w:hAnsi="Times New Roman"/>
          <w:bCs/>
          <w:iCs/>
          <w:sz w:val="22"/>
          <w:szCs w:val="22"/>
        </w:rPr>
        <w:t>:</w:t>
      </w:r>
      <w:r w:rsidR="00C37AEF">
        <w:rPr>
          <w:rFonts w:ascii="Times New Roman" w:hAnsi="Times New Roman"/>
          <w:bCs/>
          <w:iCs/>
          <w:sz w:val="22"/>
          <w:szCs w:val="22"/>
        </w:rPr>
        <w:t xml:space="preserve"> n° 5 quantità di </w:t>
      </w:r>
      <w:r w:rsidR="006344AD" w:rsidRPr="002D3410">
        <w:rPr>
          <w:rFonts w:ascii="Times New Roman" w:hAnsi="Times New Roman"/>
          <w:bCs/>
          <w:iCs/>
          <w:sz w:val="22"/>
          <w:szCs w:val="22"/>
        </w:rPr>
        <w:t xml:space="preserve"> </w:t>
      </w:r>
      <w:r w:rsidR="00C37AEF">
        <w:rPr>
          <w:rFonts w:ascii="Times New Roman" w:hAnsi="Times New Roman"/>
          <w:bCs/>
          <w:iCs/>
          <w:sz w:val="22"/>
          <w:szCs w:val="22"/>
        </w:rPr>
        <w:t xml:space="preserve">29378-upk100 clear glass certified s/t vial e n° 5 quantità di 29388 – upk 100 certified pp vial, 300ul, ptfe/sil + € 23 per spese  </w:t>
      </w:r>
      <w:r w:rsidRPr="002D3410">
        <w:rPr>
          <w:rFonts w:ascii="Times New Roman" w:hAnsi="Times New Roman"/>
          <w:bCs/>
          <w:sz w:val="22"/>
          <w:szCs w:val="22"/>
        </w:rPr>
        <w:t xml:space="preserve">per un importo complessivo delle prestazioni pari ad € </w:t>
      </w:r>
      <w:r w:rsidR="00C37AEF">
        <w:rPr>
          <w:rFonts w:ascii="Times New Roman" w:hAnsi="Times New Roman"/>
          <w:bCs/>
          <w:sz w:val="22"/>
          <w:szCs w:val="22"/>
        </w:rPr>
        <w:t>518,32</w:t>
      </w:r>
      <w:r w:rsidR="00FF1016" w:rsidRPr="002D3410">
        <w:rPr>
          <w:rFonts w:ascii="Times New Roman" w:hAnsi="Times New Roman"/>
          <w:bCs/>
          <w:sz w:val="22"/>
          <w:szCs w:val="22"/>
        </w:rPr>
        <w:t xml:space="preserve"> I</w:t>
      </w:r>
      <w:r w:rsidRPr="002D3410">
        <w:rPr>
          <w:rFonts w:ascii="Times New Roman" w:hAnsi="Times New Roman"/>
          <w:bCs/>
          <w:sz w:val="22"/>
          <w:szCs w:val="22"/>
        </w:rPr>
        <w:t>VA inclusa restando inteso che l’efficacia del</w:t>
      </w:r>
      <w:r w:rsidRPr="00623982">
        <w:rPr>
          <w:rFonts w:ascii="Times New Roman" w:hAnsi="Times New Roman"/>
          <w:bCs/>
          <w:sz w:val="22"/>
          <w:szCs w:val="22"/>
        </w:rPr>
        <w:t xml:space="preserve"> presente provvedimento è subordinata all’esito positivo delle verifiche in ordine alla ricorrenza, in capo all’affidatario, dei requisiti generali di cui all’art. 80 del Dlgs 50/2016 e s.m.i., secondo quanto specificato dalle Linee Guida Anac 4</w:t>
      </w:r>
      <w:r w:rsidRPr="00623982">
        <w:rPr>
          <w:rFonts w:ascii="Times New Roman" w:hAnsi="Times New Roman"/>
          <w:sz w:val="22"/>
          <w:szCs w:val="22"/>
        </w:rPr>
        <w:t xml:space="preserve"> (aggiornate al Decreto Legislativo 19 aprile 2017, n. 56 con delibera del Consiglio n. 206 del 1 marzo 2018) e riportato in premessa</w:t>
      </w:r>
      <w:r w:rsidRPr="00623982">
        <w:rPr>
          <w:rFonts w:ascii="Times New Roman" w:hAnsi="Times New Roman"/>
          <w:bCs/>
          <w:sz w:val="22"/>
          <w:szCs w:val="22"/>
        </w:rPr>
        <w:t xml:space="preserve"> ;</w:t>
      </w:r>
    </w:p>
    <w:bookmarkEnd w:id="0"/>
    <w:p w:rsidR="00EA5DC5" w:rsidRDefault="00EA5DC5" w:rsidP="00623982">
      <w:pPr>
        <w:pStyle w:val="Paragrafoelenco"/>
        <w:numPr>
          <w:ilvl w:val="0"/>
          <w:numId w:val="9"/>
        </w:numPr>
        <w:spacing w:before="120" w:after="120" w:line="276" w:lineRule="auto"/>
        <w:contextualSpacing w:val="0"/>
        <w:rPr>
          <w:rFonts w:ascii="Times New Roman" w:hAnsi="Times New Roman"/>
          <w:bCs/>
          <w:sz w:val="22"/>
          <w:szCs w:val="22"/>
        </w:rPr>
      </w:pPr>
      <w:r w:rsidRPr="00623982">
        <w:rPr>
          <w:rFonts w:ascii="Times New Roman" w:hAnsi="Times New Roman"/>
          <w:bCs/>
          <w:sz w:val="22"/>
          <w:szCs w:val="22"/>
        </w:rPr>
        <w:t>di autorizzare l’assunzione del relativo impegno di spesa, da imputare</w:t>
      </w:r>
      <w:r w:rsidR="00AA725D" w:rsidRPr="00623982">
        <w:rPr>
          <w:rFonts w:ascii="Times New Roman" w:hAnsi="Times New Roman"/>
          <w:bCs/>
          <w:sz w:val="22"/>
          <w:szCs w:val="22"/>
        </w:rPr>
        <w:t xml:space="preserve"> sul progetto </w:t>
      </w:r>
      <w:r w:rsidR="00C503FD" w:rsidRPr="00C503FD">
        <w:rPr>
          <w:rFonts w:ascii="Times New Roman" w:hAnsi="Times New Roman"/>
          <w:kern w:val="0"/>
          <w:sz w:val="22"/>
          <w:szCs w:val="22"/>
        </w:rPr>
        <w:t>2</w:t>
      </w:r>
      <w:r w:rsidR="00C37AEF">
        <w:rPr>
          <w:rFonts w:ascii="Times New Roman" w:hAnsi="Times New Roman"/>
          <w:kern w:val="0"/>
          <w:sz w:val="22"/>
          <w:szCs w:val="22"/>
        </w:rPr>
        <w:t>90300_ALTRO_R-2019_iAQUEDCUT</w:t>
      </w:r>
      <w:r w:rsidR="00C503FD" w:rsidRPr="00C503FD">
        <w:rPr>
          <w:rFonts w:ascii="Times New Roman" w:hAnsi="Times New Roman"/>
          <w:kern w:val="0"/>
          <w:sz w:val="22"/>
          <w:szCs w:val="22"/>
        </w:rPr>
        <w:t>-</w:t>
      </w:r>
      <w:r w:rsidR="00C37AEF">
        <w:rPr>
          <w:rFonts w:ascii="Times New Roman" w:hAnsi="Times New Roman"/>
          <w:kern w:val="0"/>
          <w:sz w:val="22"/>
          <w:szCs w:val="22"/>
        </w:rPr>
        <w:t>ROMANO</w:t>
      </w:r>
      <w:r w:rsidRPr="00623982">
        <w:rPr>
          <w:rFonts w:ascii="Times New Roman" w:hAnsi="Times New Roman"/>
          <w:bCs/>
          <w:sz w:val="22"/>
          <w:szCs w:val="22"/>
        </w:rPr>
        <w:t>;</w:t>
      </w:r>
    </w:p>
    <w:p w:rsidR="002C7402" w:rsidRDefault="002C7402" w:rsidP="002C7402">
      <w:pPr>
        <w:spacing w:before="120" w:after="120" w:line="276" w:lineRule="auto"/>
        <w:rPr>
          <w:rFonts w:ascii="Times New Roman" w:hAnsi="Times New Roman"/>
          <w:bCs/>
          <w:sz w:val="22"/>
          <w:szCs w:val="22"/>
        </w:rPr>
      </w:pPr>
    </w:p>
    <w:p w:rsidR="002C7402" w:rsidRPr="002C7402" w:rsidRDefault="002C7402" w:rsidP="002C7402">
      <w:pPr>
        <w:spacing w:before="120" w:after="120" w:line="276" w:lineRule="auto"/>
        <w:rPr>
          <w:rFonts w:ascii="Times New Roman" w:hAnsi="Times New Roman"/>
          <w:bCs/>
          <w:sz w:val="22"/>
          <w:szCs w:val="22"/>
        </w:rPr>
      </w:pPr>
    </w:p>
    <w:p w:rsidR="00EA5DC5" w:rsidRPr="002E6E77" w:rsidRDefault="00EA5DC5" w:rsidP="00916E08">
      <w:pPr>
        <w:numPr>
          <w:ilvl w:val="0"/>
          <w:numId w:val="3"/>
        </w:numPr>
        <w:suppressAutoHyphens/>
        <w:spacing w:before="120" w:after="120" w:line="276" w:lineRule="auto"/>
        <w:rPr>
          <w:rFonts w:ascii="Times New Roman" w:hAnsi="Times New Roman"/>
          <w:bCs/>
          <w:sz w:val="22"/>
          <w:szCs w:val="22"/>
        </w:rPr>
      </w:pPr>
      <w:r w:rsidRPr="00623982">
        <w:rPr>
          <w:rFonts w:ascii="Times New Roman" w:hAnsi="Times New Roman"/>
          <w:bCs/>
          <w:sz w:val="22"/>
          <w:szCs w:val="22"/>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2C7402" w:rsidRDefault="002C7402" w:rsidP="002C7402">
      <w:pPr>
        <w:spacing w:line="276" w:lineRule="auto"/>
        <w:ind w:left="5396" w:firstLine="284"/>
        <w:contextualSpacing/>
        <w:jc w:val="left"/>
        <w:rPr>
          <w:rFonts w:ascii="Times New Roman" w:hAnsi="Times New Roman"/>
          <w:sz w:val="22"/>
          <w:szCs w:val="22"/>
        </w:rPr>
      </w:pPr>
    </w:p>
    <w:p w:rsidR="002C7402" w:rsidRDefault="002C7402" w:rsidP="002C7402">
      <w:pPr>
        <w:spacing w:line="276" w:lineRule="auto"/>
        <w:ind w:left="5396" w:firstLine="284"/>
        <w:contextualSpacing/>
        <w:jc w:val="left"/>
        <w:rPr>
          <w:rFonts w:ascii="Times New Roman" w:hAnsi="Times New Roman"/>
          <w:sz w:val="22"/>
          <w:szCs w:val="22"/>
        </w:rPr>
      </w:pPr>
      <w:r>
        <w:rPr>
          <w:rFonts w:ascii="Times New Roman" w:hAnsi="Times New Roman"/>
          <w:sz w:val="22"/>
          <w:szCs w:val="22"/>
        </w:rPr>
        <w:t>Il Direttore del CIRam</w:t>
      </w:r>
    </w:p>
    <w:p w:rsidR="002C7402" w:rsidRDefault="002C7402" w:rsidP="002C7402">
      <w:pPr>
        <w:spacing w:line="276" w:lineRule="auto"/>
        <w:ind w:left="5112" w:firstLine="284"/>
        <w:contextualSpacing/>
        <w:jc w:val="left"/>
        <w:rPr>
          <w:rFonts w:ascii="Times New Roman" w:hAnsi="Times New Roman"/>
          <w:sz w:val="22"/>
          <w:szCs w:val="22"/>
        </w:rPr>
      </w:pPr>
      <w:r>
        <w:rPr>
          <w:rFonts w:ascii="Times New Roman" w:hAnsi="Times New Roman"/>
          <w:sz w:val="22"/>
          <w:szCs w:val="22"/>
        </w:rPr>
        <w:t xml:space="preserve">  Prof. Ing. Nunzio Romano</w:t>
      </w:r>
    </w:p>
    <w:p w:rsidR="002C7402" w:rsidRDefault="002C7402" w:rsidP="002C7402">
      <w:pPr>
        <w:spacing w:line="276" w:lineRule="auto"/>
        <w:ind w:left="5112" w:firstLine="284"/>
        <w:contextualSpacing/>
        <w:jc w:val="left"/>
        <w:rPr>
          <w:rFonts w:ascii="Times New Roman" w:hAnsi="Times New Roman"/>
          <w:sz w:val="22"/>
          <w:szCs w:val="22"/>
        </w:rPr>
      </w:pPr>
      <w:bookmarkStart w:id="1" w:name="_GoBack"/>
      <w:bookmarkEnd w:id="1"/>
    </w:p>
    <w:p w:rsidR="002C7402" w:rsidRDefault="002C7402" w:rsidP="002C7402">
      <w:pPr>
        <w:spacing w:line="276" w:lineRule="auto"/>
        <w:contextualSpacing/>
        <w:jc w:val="left"/>
        <w:rPr>
          <w:rFonts w:ascii="Times New Roman" w:hAnsi="Times New Roman"/>
          <w:sz w:val="22"/>
          <w:szCs w:val="22"/>
        </w:rPr>
      </w:pPr>
    </w:p>
    <w:p w:rsidR="002C7402" w:rsidRDefault="002C7402" w:rsidP="00623982">
      <w:pPr>
        <w:spacing w:line="276" w:lineRule="auto"/>
        <w:ind w:left="5396" w:firstLine="284"/>
        <w:contextualSpacing/>
        <w:jc w:val="center"/>
        <w:rPr>
          <w:rFonts w:ascii="Times New Roman" w:hAnsi="Times New Roman"/>
          <w:sz w:val="22"/>
          <w:szCs w:val="22"/>
        </w:rPr>
      </w:pPr>
    </w:p>
    <w:p w:rsidR="002C7402" w:rsidRDefault="002C7402" w:rsidP="002C7402">
      <w:pPr>
        <w:spacing w:line="276" w:lineRule="auto"/>
        <w:contextualSpacing/>
        <w:jc w:val="center"/>
        <w:rPr>
          <w:rFonts w:ascii="Times New Roman" w:hAnsi="Times New Roman"/>
          <w:sz w:val="22"/>
          <w:szCs w:val="22"/>
        </w:rPr>
      </w:pPr>
    </w:p>
    <w:p w:rsidR="002C7402" w:rsidRPr="00623982" w:rsidRDefault="002C7402" w:rsidP="00623982">
      <w:pPr>
        <w:spacing w:line="276" w:lineRule="auto"/>
        <w:ind w:left="5396" w:firstLine="284"/>
        <w:contextualSpacing/>
        <w:jc w:val="center"/>
        <w:rPr>
          <w:rFonts w:ascii="Times New Roman" w:hAnsi="Times New Roman"/>
          <w:sz w:val="22"/>
          <w:szCs w:val="22"/>
        </w:rPr>
      </w:pPr>
    </w:p>
    <w:sectPr w:rsidR="002C7402" w:rsidRPr="0062398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580" w:rsidRDefault="00050580">
      <w:r>
        <w:separator/>
      </w:r>
    </w:p>
  </w:endnote>
  <w:endnote w:type="continuationSeparator" w:id="0">
    <w:p w:rsidR="00050580" w:rsidRDefault="00050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MT">
    <w:altName w:val="Microsoft YaHei Ligh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D516FB">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050580" w:rsidP="00CC1341">
        <w:pPr>
          <w:pStyle w:val="Pidipagin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580" w:rsidRDefault="00050580">
      <w:r>
        <w:separator/>
      </w:r>
    </w:p>
  </w:footnote>
  <w:footnote w:type="continuationSeparator" w:id="0">
    <w:p w:rsidR="00050580" w:rsidRDefault="00050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286360A"/>
    <w:multiLevelType w:val="hybridMultilevel"/>
    <w:tmpl w:val="C9740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10"/>
  </w:num>
  <w:num w:numId="5">
    <w:abstractNumId w:val="3"/>
  </w:num>
  <w:num w:numId="6">
    <w:abstractNumId w:val="2"/>
  </w:num>
  <w:num w:numId="7">
    <w:abstractNumId w:val="4"/>
  </w:num>
  <w:num w:numId="8">
    <w:abstractNumId w:val="1"/>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CE"/>
    <w:rsid w:val="00011045"/>
    <w:rsid w:val="00043FB4"/>
    <w:rsid w:val="00050580"/>
    <w:rsid w:val="00072884"/>
    <w:rsid w:val="00074629"/>
    <w:rsid w:val="000812F8"/>
    <w:rsid w:val="000E5EAD"/>
    <w:rsid w:val="000F4D7F"/>
    <w:rsid w:val="000F55B8"/>
    <w:rsid w:val="0010688C"/>
    <w:rsid w:val="001069CD"/>
    <w:rsid w:val="0011649A"/>
    <w:rsid w:val="0011684F"/>
    <w:rsid w:val="00135DE2"/>
    <w:rsid w:val="00161F8D"/>
    <w:rsid w:val="00163FC9"/>
    <w:rsid w:val="00180A79"/>
    <w:rsid w:val="00197330"/>
    <w:rsid w:val="001B0928"/>
    <w:rsid w:val="001C407A"/>
    <w:rsid w:val="001D0C4E"/>
    <w:rsid w:val="001E22DB"/>
    <w:rsid w:val="001E713B"/>
    <w:rsid w:val="001F215E"/>
    <w:rsid w:val="00251169"/>
    <w:rsid w:val="00287344"/>
    <w:rsid w:val="002B028B"/>
    <w:rsid w:val="002B4814"/>
    <w:rsid w:val="002C7402"/>
    <w:rsid w:val="002D3410"/>
    <w:rsid w:val="002D64A3"/>
    <w:rsid w:val="002E6E77"/>
    <w:rsid w:val="00316561"/>
    <w:rsid w:val="003338E9"/>
    <w:rsid w:val="003353A9"/>
    <w:rsid w:val="00335EF1"/>
    <w:rsid w:val="00360393"/>
    <w:rsid w:val="00372B55"/>
    <w:rsid w:val="00376E40"/>
    <w:rsid w:val="00395F63"/>
    <w:rsid w:val="003A54FF"/>
    <w:rsid w:val="003A5BAC"/>
    <w:rsid w:val="003A5FB6"/>
    <w:rsid w:val="003C0FD6"/>
    <w:rsid w:val="003D1395"/>
    <w:rsid w:val="0041016B"/>
    <w:rsid w:val="004414A1"/>
    <w:rsid w:val="00463204"/>
    <w:rsid w:val="0047589E"/>
    <w:rsid w:val="00493C86"/>
    <w:rsid w:val="004C5DF6"/>
    <w:rsid w:val="004F4C4D"/>
    <w:rsid w:val="005361C6"/>
    <w:rsid w:val="005B06EE"/>
    <w:rsid w:val="005B0E2C"/>
    <w:rsid w:val="005B273B"/>
    <w:rsid w:val="005B3C69"/>
    <w:rsid w:val="005C0B6E"/>
    <w:rsid w:val="005C65F6"/>
    <w:rsid w:val="006174EB"/>
    <w:rsid w:val="00623982"/>
    <w:rsid w:val="006344AD"/>
    <w:rsid w:val="0066791E"/>
    <w:rsid w:val="006805B5"/>
    <w:rsid w:val="006C47B0"/>
    <w:rsid w:val="006E3E49"/>
    <w:rsid w:val="006F4BF5"/>
    <w:rsid w:val="00707B64"/>
    <w:rsid w:val="00730BE1"/>
    <w:rsid w:val="0074009D"/>
    <w:rsid w:val="0076245A"/>
    <w:rsid w:val="007D5531"/>
    <w:rsid w:val="00826556"/>
    <w:rsid w:val="008304C8"/>
    <w:rsid w:val="008352D2"/>
    <w:rsid w:val="00846F8F"/>
    <w:rsid w:val="0085145F"/>
    <w:rsid w:val="00876CF4"/>
    <w:rsid w:val="008F4C6A"/>
    <w:rsid w:val="00916E08"/>
    <w:rsid w:val="00947163"/>
    <w:rsid w:val="00967572"/>
    <w:rsid w:val="009936D8"/>
    <w:rsid w:val="009E0480"/>
    <w:rsid w:val="00A075B9"/>
    <w:rsid w:val="00A15116"/>
    <w:rsid w:val="00A278F9"/>
    <w:rsid w:val="00A74354"/>
    <w:rsid w:val="00A94504"/>
    <w:rsid w:val="00AA725D"/>
    <w:rsid w:val="00AC4EA7"/>
    <w:rsid w:val="00AC610B"/>
    <w:rsid w:val="00AD0A85"/>
    <w:rsid w:val="00AF6223"/>
    <w:rsid w:val="00B12026"/>
    <w:rsid w:val="00B237F8"/>
    <w:rsid w:val="00B30C39"/>
    <w:rsid w:val="00B325EA"/>
    <w:rsid w:val="00B372E0"/>
    <w:rsid w:val="00B44FFA"/>
    <w:rsid w:val="00B61F6D"/>
    <w:rsid w:val="00B8282C"/>
    <w:rsid w:val="00BD73FB"/>
    <w:rsid w:val="00BE46BC"/>
    <w:rsid w:val="00BF276E"/>
    <w:rsid w:val="00C15023"/>
    <w:rsid w:val="00C17F31"/>
    <w:rsid w:val="00C27290"/>
    <w:rsid w:val="00C37AEF"/>
    <w:rsid w:val="00C503FD"/>
    <w:rsid w:val="00C5111A"/>
    <w:rsid w:val="00C6502F"/>
    <w:rsid w:val="00C7063D"/>
    <w:rsid w:val="00C7322D"/>
    <w:rsid w:val="00CA588A"/>
    <w:rsid w:val="00CC1341"/>
    <w:rsid w:val="00CC5F2B"/>
    <w:rsid w:val="00CD76D6"/>
    <w:rsid w:val="00D017B7"/>
    <w:rsid w:val="00D25E52"/>
    <w:rsid w:val="00D3629E"/>
    <w:rsid w:val="00D4485D"/>
    <w:rsid w:val="00D516FB"/>
    <w:rsid w:val="00D54C21"/>
    <w:rsid w:val="00D6331F"/>
    <w:rsid w:val="00D74C50"/>
    <w:rsid w:val="00D975D1"/>
    <w:rsid w:val="00DA2B0C"/>
    <w:rsid w:val="00DB1FCE"/>
    <w:rsid w:val="00DD1AFC"/>
    <w:rsid w:val="00DF36D6"/>
    <w:rsid w:val="00DF5160"/>
    <w:rsid w:val="00E316FD"/>
    <w:rsid w:val="00E540DF"/>
    <w:rsid w:val="00E8672C"/>
    <w:rsid w:val="00EA5DC5"/>
    <w:rsid w:val="00ED0AC5"/>
    <w:rsid w:val="00ED1314"/>
    <w:rsid w:val="00EE38AF"/>
    <w:rsid w:val="00EE7E04"/>
    <w:rsid w:val="00EF5A55"/>
    <w:rsid w:val="00F32350"/>
    <w:rsid w:val="00F56509"/>
    <w:rsid w:val="00F6388A"/>
    <w:rsid w:val="00F719BC"/>
    <w:rsid w:val="00F84E9F"/>
    <w:rsid w:val="00FA3CFC"/>
    <w:rsid w:val="00FB015C"/>
    <w:rsid w:val="00FB2068"/>
    <w:rsid w:val="00FC5013"/>
    <w:rsid w:val="00FD4156"/>
    <w:rsid w:val="00FF1016"/>
    <w:rsid w:val="00FF36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5:docId w15:val="{CF0E3B0C-8F92-4F48-ABDF-A2088897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0C9C1-7294-4226-BEF4-8A6598FBB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65</TotalTime>
  <Pages>1</Pages>
  <Words>940</Words>
  <Characters>5359</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6287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keywords/>
  <dc:description/>
  <cp:lastModifiedBy>User</cp:lastModifiedBy>
  <cp:revision>11</cp:revision>
  <cp:lastPrinted>2015-03-19T11:19:00Z</cp:lastPrinted>
  <dcterms:created xsi:type="dcterms:W3CDTF">2020-10-16T09:55:00Z</dcterms:created>
  <dcterms:modified xsi:type="dcterms:W3CDTF">2020-12-02T11:52:00Z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