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720EE764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AB2722">
        <w:rPr>
          <w:rFonts w:cs="Tahoma"/>
          <w:b/>
          <w:bCs/>
          <w:sz w:val="22"/>
        </w:rPr>
        <w:t>90</w:t>
      </w:r>
      <w:r w:rsidR="00823524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AB2722">
        <w:rPr>
          <w:rFonts w:cs="Tahoma"/>
          <w:b/>
          <w:bCs/>
          <w:sz w:val="22"/>
        </w:rPr>
        <w:t>22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823524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AB2722">
        <w:rPr>
          <w:rFonts w:cs="Tahoma"/>
          <w:b/>
          <w:bCs/>
          <w:sz w:val="22"/>
        </w:rPr>
        <w:t>20</w:t>
      </w:r>
    </w:p>
    <w:p w14:paraId="6F22250D" w14:textId="225C2804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823524">
        <w:rPr>
          <w:rFonts w:cs="Tahoma"/>
          <w:b/>
          <w:bCs/>
          <w:color w:val="000000"/>
          <w:sz w:val="22"/>
        </w:rPr>
        <w:t>la “</w:t>
      </w:r>
      <w:r w:rsidR="00AB2722">
        <w:rPr>
          <w:rFonts w:cs="Tahoma"/>
          <w:b/>
          <w:bCs/>
          <w:color w:val="000000"/>
          <w:sz w:val="22"/>
        </w:rPr>
        <w:t>f</w:t>
      </w:r>
      <w:r w:rsidR="00AB2722" w:rsidRPr="00AB2722">
        <w:rPr>
          <w:rFonts w:cs="Tahoma"/>
          <w:b/>
          <w:bCs/>
          <w:color w:val="000000"/>
          <w:sz w:val="22"/>
        </w:rPr>
        <w:t>itto, utilizzo, trasporto ed assicurazione di strumentazione accessoria per le acquisizioni con Minivib</w:t>
      </w:r>
      <w:r w:rsidR="00AB2722">
        <w:rPr>
          <w:rFonts w:cs="Tahoma"/>
          <w:b/>
          <w:bCs/>
          <w:color w:val="000000"/>
          <w:sz w:val="22"/>
        </w:rPr>
        <w:t xml:space="preserve"> </w:t>
      </w:r>
      <w:r w:rsidR="00AB2722" w:rsidRPr="00AB2722">
        <w:rPr>
          <w:rFonts w:cs="Tahoma"/>
          <w:b/>
          <w:bCs/>
          <w:color w:val="000000"/>
          <w:sz w:val="22"/>
        </w:rPr>
        <w:t>nell’ambito del progetto SEG Geophysics Field Camp in Southern Italy 2020</w:t>
      </w:r>
      <w:r w:rsidR="00823524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AB2722" w:rsidRPr="00AB2722">
        <w:t xml:space="preserve"> </w:t>
      </w:r>
      <w:r w:rsidR="00AB2722" w:rsidRPr="00AB2722">
        <w:rPr>
          <w:rFonts w:cs="Tahoma"/>
          <w:b/>
          <w:bCs/>
          <w:color w:val="000000"/>
          <w:sz w:val="22"/>
        </w:rPr>
        <w:t>Z2F2E611AA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4F83278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AB2722">
        <w:rPr>
          <w:rFonts w:cs="Tahoma"/>
          <w:bCs/>
          <w:color w:val="000000"/>
          <w:sz w:val="22"/>
        </w:rPr>
        <w:t>Maurizio Fedi</w:t>
      </w:r>
      <w:r w:rsidR="00DD5830">
        <w:rPr>
          <w:rFonts w:cs="Tahoma"/>
          <w:bCs/>
          <w:color w:val="000000"/>
          <w:sz w:val="22"/>
        </w:rPr>
        <w:t xml:space="preserve"> con </w:t>
      </w:r>
      <w:r w:rsidR="00AB2722">
        <w:rPr>
          <w:rFonts w:cs="Tahoma"/>
          <w:bCs/>
          <w:color w:val="000000"/>
          <w:sz w:val="22"/>
        </w:rPr>
        <w:t xml:space="preserve">nota del </w:t>
      </w:r>
      <w:r w:rsidR="00AB2722" w:rsidRPr="00AB2722">
        <w:rPr>
          <w:rFonts w:cs="Tahoma"/>
          <w:bCs/>
          <w:color w:val="000000"/>
          <w:sz w:val="22"/>
        </w:rPr>
        <w:t>17/09/2020</w:t>
      </w:r>
      <w:r w:rsidR="00AB2722">
        <w:rPr>
          <w:rFonts w:cs="Tahoma"/>
          <w:bCs/>
          <w:color w:val="000000"/>
          <w:sz w:val="22"/>
        </w:rPr>
        <w:t xml:space="preserve"> prot. </w:t>
      </w:r>
      <w:r w:rsidR="00AB2722" w:rsidRPr="00AB2722">
        <w:rPr>
          <w:rFonts w:cs="Tahoma"/>
          <w:bCs/>
          <w:color w:val="000000"/>
          <w:sz w:val="22"/>
        </w:rPr>
        <w:t>2020/0072693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823524">
        <w:rPr>
          <w:rFonts w:cs="Tahoma"/>
          <w:bCs/>
          <w:sz w:val="22"/>
        </w:rPr>
        <w:t xml:space="preserve">a </w:t>
      </w:r>
      <w:r w:rsidR="00AB2722">
        <w:rPr>
          <w:rFonts w:cs="Tahoma"/>
          <w:bCs/>
          <w:sz w:val="22"/>
        </w:rPr>
        <w:t>il</w:t>
      </w:r>
      <w:r w:rsidR="00823524">
        <w:rPr>
          <w:rFonts w:cs="Tahoma"/>
          <w:bCs/>
          <w:sz w:val="22"/>
        </w:rPr>
        <w:t xml:space="preserve"> “</w:t>
      </w:r>
      <w:r w:rsidR="00AB2722" w:rsidRPr="00AB2722">
        <w:rPr>
          <w:rFonts w:cs="Tahoma"/>
          <w:bCs/>
          <w:sz w:val="22"/>
        </w:rPr>
        <w:t>fitto, utilizzo, trasporto ed assicurazione di strumentazione accessoria per le acquisizioni con Minivib nell’ambito del progetto SEG Geophysics Field Camp in Southern Italy 2020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B0BEA7D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53565670"/>
      <w:bookmarkEnd w:id="0"/>
      <w:r w:rsidR="00AB2722" w:rsidRPr="00AB2722">
        <w:rPr>
          <w:rFonts w:cs="Tahoma"/>
          <w:sz w:val="22"/>
        </w:rPr>
        <w:t>000024_DIDATTICA_DA_SCUOLA_POLITECNICA_2019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39481B9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AB2722" w:rsidRPr="00AB2722">
        <w:rPr>
          <w:sz w:val="22"/>
        </w:rPr>
        <w:t>GEOEXPLORER IMPRESA SOCIALE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AB2722">
        <w:rPr>
          <w:sz w:val="22"/>
        </w:rPr>
        <w:t>Arezzo (AR)</w:t>
      </w:r>
      <w:r w:rsidR="00D671F4">
        <w:rPr>
          <w:sz w:val="22"/>
        </w:rPr>
        <w:t xml:space="preserve"> – p.i. </w:t>
      </w:r>
      <w:r w:rsidR="00AB2722" w:rsidRPr="00AB2722">
        <w:rPr>
          <w:sz w:val="22"/>
        </w:rPr>
        <w:t>02172260511</w:t>
      </w:r>
      <w:r w:rsidR="00406AF2" w:rsidRPr="006B6955">
        <w:rPr>
          <w:sz w:val="22"/>
        </w:rPr>
        <w:t>;</w:t>
      </w:r>
    </w:p>
    <w:p w14:paraId="25C91F19" w14:textId="21D3CBAC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AB2722" w:rsidRPr="00AB2722">
        <w:rPr>
          <w:sz w:val="22"/>
        </w:rPr>
        <w:t>1.060,00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AB2722" w:rsidRPr="00AB2722">
        <w:rPr>
          <w:rFonts w:cs="Tahoma"/>
          <w:sz w:val="22"/>
        </w:rPr>
        <w:t>000024_DIDATTICA_DA_SCUOLA_POLITECNICA_2019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62EE7711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B2722">
        <w:rPr>
          <w:sz w:val="22"/>
        </w:rPr>
        <w:t>Raffaele</w:t>
      </w:r>
      <w:r w:rsidR="001434AA" w:rsidRPr="00B370CC">
        <w:rPr>
          <w:sz w:val="22"/>
        </w:rPr>
        <w:t xml:space="preserve"> </w:t>
      </w:r>
      <w:r w:rsidR="00AB2722">
        <w:rPr>
          <w:sz w:val="22"/>
        </w:rPr>
        <w:t>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11D45DE5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0F0EF4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7015C" w14:textId="77777777" w:rsidR="00BE1276" w:rsidRDefault="00BE1276" w:rsidP="002558D8">
      <w:pPr>
        <w:spacing w:line="240" w:lineRule="auto"/>
      </w:pPr>
      <w:r>
        <w:separator/>
      </w:r>
    </w:p>
  </w:endnote>
  <w:endnote w:type="continuationSeparator" w:id="0">
    <w:p w14:paraId="59370FE9" w14:textId="77777777" w:rsidR="00BE1276" w:rsidRDefault="00BE127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00888" w14:textId="77777777" w:rsidR="00BE1276" w:rsidRDefault="00BE1276" w:rsidP="002558D8">
      <w:pPr>
        <w:spacing w:line="240" w:lineRule="auto"/>
      </w:pPr>
      <w:r>
        <w:separator/>
      </w:r>
    </w:p>
  </w:footnote>
  <w:footnote w:type="continuationSeparator" w:id="0">
    <w:p w14:paraId="0165E808" w14:textId="77777777" w:rsidR="00BE1276" w:rsidRDefault="00BE127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0EF4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60077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2569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3524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272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E1276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D5830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A3D86-92AA-47C8-8271-56EF959E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2953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68</cp:revision>
  <cp:lastPrinted>2018-11-05T09:21:00Z</cp:lastPrinted>
  <dcterms:created xsi:type="dcterms:W3CDTF">2018-06-08T11:38:00Z</dcterms:created>
  <dcterms:modified xsi:type="dcterms:W3CDTF">2020-10-14T09:01:00Z</dcterms:modified>
</cp:coreProperties>
</file>