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0"/>
        <w:gridCol w:w="8427"/>
        <w:gridCol w:w="10514"/>
      </w:tblGrid>
      <w:tr w:rsidR="009122C0" w:rsidRPr="00971153" w:rsidTr="00EB1F76">
        <w:trPr>
          <w:trHeight w:val="741"/>
          <w:tblHeader/>
        </w:trPr>
        <w:tc>
          <w:tcPr>
            <w:tcW w:w="5000" w:type="pct"/>
            <w:gridSpan w:val="3"/>
            <w:shd w:val="clear" w:color="auto" w:fill="auto"/>
            <w:noWrap/>
            <w:vAlign w:val="center"/>
          </w:tcPr>
          <w:p w:rsidR="003A1699" w:rsidRPr="00156E1D" w:rsidRDefault="0072071B" w:rsidP="00AF48DB">
            <w:pPr>
              <w:spacing w:after="0" w:line="240" w:lineRule="auto"/>
              <w:jc w:val="center"/>
              <w:rPr>
                <w:rFonts w:ascii="Times New Roman" w:hAnsi="Times New Roman" w:cs="Times New Roman"/>
                <w:color w:val="000000"/>
                <w:sz w:val="16"/>
                <w:szCs w:val="16"/>
              </w:rPr>
            </w:pPr>
            <w:r w:rsidRPr="0072071B">
              <w:rPr>
                <w:rFonts w:ascii="Times New Roman" w:hAnsi="Times New Roman" w:cs="Times New Roman"/>
                <w:color w:val="000000"/>
                <w:sz w:val="16"/>
                <w:szCs w:val="16"/>
              </w:rPr>
              <w:t xml:space="preserve">Quota di adesione per le </w:t>
            </w:r>
            <w:proofErr w:type="spellStart"/>
            <w:r w:rsidRPr="0072071B">
              <w:rPr>
                <w:rFonts w:ascii="Times New Roman" w:hAnsi="Times New Roman" w:cs="Times New Roman"/>
                <w:color w:val="000000"/>
                <w:sz w:val="16"/>
                <w:szCs w:val="16"/>
              </w:rPr>
              <w:t>dott.sse</w:t>
            </w:r>
            <w:proofErr w:type="spellEnd"/>
            <w:r w:rsidRPr="0072071B">
              <w:rPr>
                <w:rFonts w:ascii="Times New Roman" w:hAnsi="Times New Roman" w:cs="Times New Roman"/>
                <w:color w:val="000000"/>
                <w:sz w:val="16"/>
                <w:szCs w:val="16"/>
              </w:rPr>
              <w:t xml:space="preserve"> Luisa De Simone e Iole Salerno al seminario di aggiornamento AVA (Dm/2019) organizzata dalla CRUI. Quota di adesione per le </w:t>
            </w:r>
            <w:proofErr w:type="spellStart"/>
            <w:r w:rsidRPr="0072071B">
              <w:rPr>
                <w:rFonts w:ascii="Times New Roman" w:hAnsi="Times New Roman" w:cs="Times New Roman"/>
                <w:color w:val="000000"/>
                <w:sz w:val="16"/>
                <w:szCs w:val="16"/>
              </w:rPr>
              <w:t>dott.sse</w:t>
            </w:r>
            <w:proofErr w:type="spellEnd"/>
            <w:r w:rsidRPr="0072071B">
              <w:rPr>
                <w:rFonts w:ascii="Times New Roman" w:hAnsi="Times New Roman" w:cs="Times New Roman"/>
                <w:color w:val="000000"/>
                <w:sz w:val="16"/>
                <w:szCs w:val="16"/>
              </w:rPr>
              <w:t xml:space="preserve"> Paola Balsamo e Claudia Caruso al Corso di formazione "Protezione dei dati personali: dalla normativa all'organizzazione" organizzata </w:t>
            </w:r>
            <w:proofErr w:type="spellStart"/>
            <w:r w:rsidRPr="0072071B">
              <w:rPr>
                <w:rFonts w:ascii="Times New Roman" w:hAnsi="Times New Roman" w:cs="Times New Roman"/>
                <w:color w:val="000000"/>
                <w:sz w:val="16"/>
                <w:szCs w:val="16"/>
              </w:rPr>
              <w:t>dala</w:t>
            </w:r>
            <w:proofErr w:type="spellEnd"/>
            <w:r w:rsidRPr="0072071B">
              <w:rPr>
                <w:rFonts w:ascii="Times New Roman" w:hAnsi="Times New Roman" w:cs="Times New Roman"/>
                <w:color w:val="000000"/>
                <w:sz w:val="16"/>
                <w:szCs w:val="16"/>
              </w:rPr>
              <w:t xml:space="preserve"> </w:t>
            </w:r>
            <w:proofErr w:type="spellStart"/>
            <w:r w:rsidRPr="0072071B">
              <w:rPr>
                <w:rFonts w:ascii="Times New Roman" w:hAnsi="Times New Roman" w:cs="Times New Roman"/>
                <w:color w:val="000000"/>
                <w:sz w:val="16"/>
                <w:szCs w:val="16"/>
              </w:rPr>
              <w:t>CRUI</w:t>
            </w:r>
            <w:r w:rsidR="003473FB" w:rsidRPr="003473FB">
              <w:rPr>
                <w:rFonts w:ascii="Times New Roman" w:hAnsi="Times New Roman" w:cs="Times New Roman"/>
                <w:color w:val="000000"/>
                <w:sz w:val="16"/>
                <w:szCs w:val="16"/>
              </w:rPr>
              <w:t>.</w:t>
            </w:r>
            <w:r w:rsidR="00AE233D" w:rsidRPr="00156E1D">
              <w:rPr>
                <w:rFonts w:ascii="Times New Roman" w:hAnsi="Times New Roman" w:cs="Times New Roman"/>
                <w:color w:val="000000"/>
                <w:sz w:val="16"/>
                <w:szCs w:val="16"/>
              </w:rPr>
              <w:t>Determina</w:t>
            </w:r>
            <w:proofErr w:type="spellEnd"/>
            <w:r w:rsidR="00AE233D" w:rsidRPr="00156E1D">
              <w:rPr>
                <w:rFonts w:ascii="Times New Roman" w:hAnsi="Times New Roman" w:cs="Times New Roman"/>
                <w:color w:val="000000"/>
                <w:sz w:val="16"/>
                <w:szCs w:val="16"/>
              </w:rPr>
              <w:t xml:space="preserve">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983FDB" w:rsidRPr="00156E1D">
              <w:rPr>
                <w:rFonts w:ascii="Times New Roman" w:hAnsi="Times New Roman" w:cs="Times New Roman"/>
                <w:color w:val="000000"/>
                <w:sz w:val="16"/>
                <w:szCs w:val="16"/>
              </w:rPr>
              <w:t>2</w:t>
            </w:r>
            <w:r>
              <w:rPr>
                <w:rFonts w:ascii="Times New Roman" w:hAnsi="Times New Roman" w:cs="Times New Roman"/>
                <w:color w:val="000000"/>
                <w:sz w:val="16"/>
                <w:szCs w:val="16"/>
              </w:rPr>
              <w:t>8</w:t>
            </w:r>
            <w:r w:rsidR="006F0757" w:rsidRPr="00156E1D">
              <w:rPr>
                <w:rFonts w:ascii="Times New Roman" w:hAnsi="Times New Roman" w:cs="Times New Roman"/>
                <w:color w:val="000000"/>
                <w:sz w:val="16"/>
                <w:szCs w:val="16"/>
              </w:rPr>
              <w:t xml:space="preserve"> del </w:t>
            </w:r>
            <w:r>
              <w:rPr>
                <w:rFonts w:ascii="Times New Roman" w:hAnsi="Times New Roman" w:cs="Times New Roman"/>
                <w:color w:val="000000"/>
                <w:sz w:val="16"/>
                <w:szCs w:val="16"/>
              </w:rPr>
              <w:t>6</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4180B364" wp14:editId="016ECCFD">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proofErr w:type="spellStart"/>
            <w:r w:rsidR="009E71AF" w:rsidRPr="009E71AF">
              <w:rPr>
                <w:rFonts w:ascii="Times New Roman" w:hAnsi="Times New Roman" w:cs="Times New Roman"/>
                <w:color w:val="000000"/>
                <w:sz w:val="20"/>
                <w:szCs w:val="20"/>
              </w:rPr>
              <w:t>i</w:t>
            </w:r>
            <w:r w:rsidR="000608FC">
              <w:rPr>
                <w:rFonts w:ascii="Times New Roman" w:hAnsi="Times New Roman" w:cs="Times New Roman"/>
                <w:color w:val="000000"/>
                <w:sz w:val="20"/>
                <w:szCs w:val="20"/>
              </w:rPr>
              <w:t>in</w:t>
            </w:r>
            <w:proofErr w:type="spellEnd"/>
            <w:r w:rsidR="000608FC">
              <w:rPr>
                <w:rFonts w:ascii="Times New Roman" w:hAnsi="Times New Roman" w:cs="Times New Roman"/>
                <w:color w:val="000000"/>
                <w:sz w:val="20"/>
                <w:szCs w:val="20"/>
              </w:rPr>
              <w:t xml:space="preserve">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12BAA83B" wp14:editId="1DD49A42">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374E8B3D" wp14:editId="5B406DCA">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51C0B4ED" wp14:editId="68E9BA11">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69941370" wp14:editId="70BA93CA">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311A6194" wp14:editId="5C1E2A87">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0C526CFD" wp14:editId="512BE79F">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1C61A411" wp14:editId="68DFE9D4">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20E73A2" wp14:editId="6F76CA77">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0608FC">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B423569" wp14:editId="7607D27C">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522DAFB" wp14:editId="45379371">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3155FD9" wp14:editId="460AEB1D">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EA9054" wp14:editId="60AFA35B">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D1AC6C7" wp14:editId="1748AFA4">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63DCF35" wp14:editId="5C42E690">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D941901" wp14:editId="058FE40E">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0D09C5B3" wp14:editId="4AF2224B">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61A6EEA" wp14:editId="7F1DCE69">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5849652" wp14:editId="3A878B26">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52CE1A5" wp14:editId="25D9318A">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84E3042" wp14:editId="0A9E2581">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0116AF3" wp14:editId="6740E91B">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3AB50E5C" wp14:editId="4EF4A63B">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0D1F7E" w:rsidRPr="00156E1D">
              <w:rPr>
                <w:rFonts w:ascii="Times New Roman" w:hAnsi="Times New Roman" w:cs="Times New Roman"/>
                <w:color w:val="000000"/>
                <w:sz w:val="20"/>
                <w:szCs w:val="20"/>
              </w:rPr>
              <w:t xml:space="preserve">con il n. </w:t>
            </w:r>
            <w:r w:rsidR="003F1BF1">
              <w:rPr>
                <w:rFonts w:ascii="Times New Roman" w:hAnsi="Times New Roman" w:cs="Times New Roman"/>
                <w:color w:val="000000"/>
                <w:sz w:val="20"/>
                <w:szCs w:val="20"/>
              </w:rPr>
              <w:t>23723</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A99F1DD" wp14:editId="1EE06941">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EC03FA" w:rsidRPr="00156E1D">
              <w:rPr>
                <w:rFonts w:ascii="Times New Roman" w:hAnsi="Times New Roman" w:cs="Times New Roman"/>
                <w:color w:val="000000"/>
                <w:sz w:val="20"/>
                <w:szCs w:val="20"/>
              </w:rPr>
              <w:t xml:space="preserve">con il n. </w:t>
            </w:r>
            <w:r w:rsidR="003F1BF1">
              <w:rPr>
                <w:rFonts w:ascii="Times New Roman" w:hAnsi="Times New Roman" w:cs="Times New Roman"/>
                <w:color w:val="000000"/>
                <w:sz w:val="20"/>
                <w:szCs w:val="20"/>
              </w:rPr>
              <w:t>23723</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22329E69" wp14:editId="0AF3D3AD">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Di Mambro Eleonora Maria</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7/3/2019</w:t>
            </w:r>
            <w:r w:rsidR="000D1F7E"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3F1BF1">
              <w:rPr>
                <w:rFonts w:ascii="Times New Roman" w:hAnsi="Times New Roman" w:cs="Times New Roman"/>
                <w:color w:val="000000"/>
                <w:sz w:val="20"/>
                <w:szCs w:val="20"/>
              </w:rPr>
              <w:t>23723</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470C49CC" wp14:editId="3D77E88F">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F055D3" wp14:editId="2C198254">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9A9A1F6" wp14:editId="2BB74537">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A8C9CF4" wp14:editId="7F6E40A9">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3B395B2" wp14:editId="5B82A2B5">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731307" wp14:editId="17ADDFAB">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46A5AB9" wp14:editId="7F271623">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5BA291A" wp14:editId="71C78EB4">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177EBE">
              <w:rPr>
                <w:rFonts w:ascii="Times New Roman" w:hAnsi="Times New Roman" w:cs="Times New Roman"/>
                <w:color w:val="000000"/>
                <w:sz w:val="20"/>
                <w:szCs w:val="20"/>
              </w:rPr>
              <w:t>7/3/2019</w:t>
            </w:r>
            <w:r w:rsidR="004A2410" w:rsidRPr="00156E1D">
              <w:rPr>
                <w:rFonts w:ascii="Times New Roman" w:hAnsi="Times New Roman" w:cs="Times New Roman"/>
                <w:color w:val="000000"/>
                <w:sz w:val="20"/>
                <w:szCs w:val="20"/>
              </w:rPr>
              <w:t xml:space="preserve"> con il n. </w:t>
            </w:r>
            <w:r w:rsidR="003F1BF1">
              <w:rPr>
                <w:rFonts w:ascii="Times New Roman" w:hAnsi="Times New Roman" w:cs="Times New Roman"/>
                <w:color w:val="000000"/>
                <w:sz w:val="20"/>
                <w:szCs w:val="20"/>
              </w:rPr>
              <w:t>23723</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FBA7B71" wp14:editId="001E4ED5">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25C2FE5F" wp14:editId="44A556CF">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A72EC8" wp14:editId="10BA6A87">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A95758A" wp14:editId="32CB0753">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6485BD" wp14:editId="0A6B9182">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BB9E6CA" wp14:editId="05D7C6ED">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E8D382" wp14:editId="1F06D34F">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00D729B9" w:rsidRPr="009E71AF">
              <w:rPr>
                <w:rFonts w:ascii="Times New Roman" w:hAnsi="Times New Roman" w:cs="Times New Roman"/>
                <w:color w:val="000000"/>
                <w:sz w:val="20"/>
                <w:szCs w:val="20"/>
              </w:rPr>
              <w:t xml:space="preserve"> con il n. </w:t>
            </w:r>
            <w:r w:rsidR="003F1BF1">
              <w:rPr>
                <w:rFonts w:ascii="Times New Roman" w:hAnsi="Times New Roman" w:cs="Times New Roman"/>
                <w:color w:val="000000"/>
                <w:sz w:val="20"/>
                <w:szCs w:val="20"/>
              </w:rPr>
              <w:t>23723</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3E53033" wp14:editId="6A76FEB3">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3F1BF1">
              <w:rPr>
                <w:rFonts w:ascii="Times New Roman" w:hAnsi="Times New Roman" w:cs="Times New Roman"/>
                <w:color w:val="000000"/>
                <w:sz w:val="20"/>
                <w:szCs w:val="20"/>
              </w:rPr>
              <w:t>23723</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21601A0" wp14:editId="514946D8">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4E2ACB1" wp14:editId="7707C343">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FDACDAF" wp14:editId="0811A598">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D041868" wp14:editId="012932F0">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493DCE8" wp14:editId="578E8134">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A5D2FF0" wp14:editId="14050A8B">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722FBE" wp14:editId="579E5D2B">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692FF5" wp14:editId="6B61B513">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3453651" wp14:editId="7141BB42">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01B9BA28" wp14:editId="4D2748A7">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8C21D75" wp14:editId="79F0F6BB">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3F1BF1">
              <w:rPr>
                <w:rFonts w:ascii="Times New Roman" w:hAnsi="Times New Roman" w:cs="Times New Roman"/>
                <w:color w:val="000000"/>
                <w:sz w:val="20"/>
                <w:szCs w:val="20"/>
              </w:rPr>
              <w:t>23723</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C364CFC" wp14:editId="3A342C80">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9BF2E1" wp14:editId="3FC18D69">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0608FC">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08FC"/>
    <w:rsid w:val="000662D4"/>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36938"/>
    <w:rsid w:val="00264A63"/>
    <w:rsid w:val="002856DB"/>
    <w:rsid w:val="002A1D43"/>
    <w:rsid w:val="002A5F4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16877"/>
    <w:rsid w:val="00542F6A"/>
    <w:rsid w:val="0059232E"/>
    <w:rsid w:val="00594699"/>
    <w:rsid w:val="00595B22"/>
    <w:rsid w:val="005D4E82"/>
    <w:rsid w:val="005E07A1"/>
    <w:rsid w:val="00614631"/>
    <w:rsid w:val="00636581"/>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7866"/>
    <w:rsid w:val="00892528"/>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C4F47"/>
    <w:rsid w:val="00D235D3"/>
    <w:rsid w:val="00D25A38"/>
    <w:rsid w:val="00D526B0"/>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3E390-EAC8-411F-8CFB-E58DC2E0B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2620</Words>
  <Characters>14935</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5</cp:revision>
  <cp:lastPrinted>2019-07-08T07:03:00Z</cp:lastPrinted>
  <dcterms:created xsi:type="dcterms:W3CDTF">2019-07-08T11:09:00Z</dcterms:created>
  <dcterms:modified xsi:type="dcterms:W3CDTF">2019-07-09T07:29:00Z</dcterms:modified>
</cp:coreProperties>
</file>