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1B457767"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8116B1">
        <w:rPr>
          <w:rFonts w:ascii="Times New Roman" w:hAnsi="Times New Roman" w:cs="Times New Roman"/>
          <w:b/>
          <w:bCs/>
        </w:rPr>
        <w:t>8</w:t>
      </w:r>
      <w:r w:rsidR="00464999">
        <w:rPr>
          <w:rFonts w:ascii="Times New Roman" w:hAnsi="Times New Roman" w:cs="Times New Roman"/>
          <w:b/>
          <w:bCs/>
        </w:rPr>
        <w:t>9</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A67AF">
        <w:rPr>
          <w:rFonts w:ascii="Times New Roman" w:hAnsi="Times New Roman" w:cs="Times New Roman"/>
          <w:b/>
          <w:bCs/>
        </w:rPr>
        <w:t>0</w:t>
      </w:r>
      <w:r w:rsidR="008116B1">
        <w:rPr>
          <w:rFonts w:ascii="Times New Roman" w:hAnsi="Times New Roman" w:cs="Times New Roman"/>
          <w:b/>
          <w:bCs/>
        </w:rPr>
        <w:t>5</w:t>
      </w:r>
      <w:r w:rsidR="007756B9">
        <w:rPr>
          <w:rFonts w:ascii="Times New Roman" w:hAnsi="Times New Roman" w:cs="Times New Roman"/>
          <w:b/>
          <w:bCs/>
        </w:rPr>
        <w:t>/0</w:t>
      </w:r>
      <w:r w:rsidR="00BA67AF">
        <w:rPr>
          <w:rFonts w:ascii="Times New Roman" w:hAnsi="Times New Roman" w:cs="Times New Roman"/>
          <w:b/>
          <w:bCs/>
        </w:rPr>
        <w:t>8</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19C8617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10</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r w:rsidR="008116B1">
        <w:rPr>
          <w:rFonts w:ascii="Times New Roman" w:hAnsi="Times New Roman" w:cs="Times New Roman"/>
          <w:color w:val="auto"/>
          <w:lang w:bidi="ar-SA"/>
        </w:rPr>
        <w:t>ASSOCIAZIONE ITALIANA DI TECNOLOGIE MECCANICA</w:t>
      </w:r>
      <w:r w:rsidR="007756B9">
        <w:rPr>
          <w:rFonts w:ascii="Times New Roman" w:hAnsi="Times New Roman" w:cs="Times New Roman"/>
          <w:color w:val="auto"/>
          <w:lang w:bidi="ar-SA"/>
        </w:rPr>
        <w:t>-</w:t>
      </w:r>
      <w:r w:rsidR="008116B1">
        <w:rPr>
          <w:rFonts w:ascii="Times New Roman" w:hAnsi="Times New Roman" w:cs="Times New Roman"/>
          <w:color w:val="auto"/>
          <w:lang w:bidi="ar-SA"/>
        </w:rPr>
        <w:t>AITEM</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54D9572F"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464999">
        <w:rPr>
          <w:sz w:val="24"/>
          <w:szCs w:val="24"/>
        </w:rPr>
        <w:t>F92DEA704</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4C1F7137"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richiesta pervenuta in data 2</w:t>
      </w:r>
      <w:r w:rsidR="00464999">
        <w:rPr>
          <w:rFonts w:ascii="Times New Roman" w:hAnsi="Times New Roman" w:cs="Times New Roman"/>
        </w:rPr>
        <w:t>3</w:t>
      </w:r>
      <w:r w:rsidR="007756B9">
        <w:rPr>
          <w:rFonts w:ascii="Times New Roman" w:hAnsi="Times New Roman" w:cs="Times New Roman"/>
        </w:rPr>
        <w:t>/07</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gramStart"/>
      <w:r w:rsidRPr="00167B6A">
        <w:rPr>
          <w:rFonts w:ascii="Times New Roman" w:hAnsi="Times New Roman" w:cs="Times New Roman"/>
        </w:rPr>
        <w:t>dal</w:t>
      </w:r>
      <w:r w:rsidR="00B25C44">
        <w:rPr>
          <w:rFonts w:ascii="Times New Roman" w:hAnsi="Times New Roman" w:cs="Times New Roman"/>
        </w:rPr>
        <w:t xml:space="preserve">la  </w:t>
      </w:r>
      <w:r w:rsidR="00D11340">
        <w:rPr>
          <w:rFonts w:ascii="Times New Roman" w:hAnsi="Times New Roman" w:cs="Times New Roman"/>
        </w:rPr>
        <w:t>Prof.ssa</w:t>
      </w:r>
      <w:proofErr w:type="gramEnd"/>
      <w:r w:rsidR="00D11340">
        <w:rPr>
          <w:rFonts w:ascii="Times New Roman" w:hAnsi="Times New Roman" w:cs="Times New Roman"/>
        </w:rPr>
        <w:t xml:space="preserve"> </w:t>
      </w:r>
      <w:r w:rsidR="00464999">
        <w:rPr>
          <w:rFonts w:ascii="Times New Roman" w:hAnsi="Times New Roman" w:cs="Times New Roman"/>
        </w:rPr>
        <w:t xml:space="preserve">Valentina </w:t>
      </w:r>
      <w:proofErr w:type="spellStart"/>
      <w:r w:rsidR="00464999">
        <w:rPr>
          <w:rFonts w:ascii="Times New Roman" w:hAnsi="Times New Roman" w:cs="Times New Roman"/>
        </w:rPr>
        <w:t>Lopresto</w:t>
      </w:r>
      <w:proofErr w:type="spellEnd"/>
      <w:r w:rsidR="00464999">
        <w:rPr>
          <w:rFonts w:ascii="Times New Roman" w:hAnsi="Times New Roman" w:cs="Times New Roman"/>
        </w:rPr>
        <w:t xml:space="preserve"> </w:t>
      </w:r>
      <w:r w:rsidR="00D11340">
        <w:rPr>
          <w:rFonts w:ascii="Times New Roman" w:hAnsi="Times New Roman" w:cs="Times New Roman"/>
        </w:rPr>
        <w:t xml:space="preserve"> docente </w:t>
      </w:r>
      <w:r w:rsidR="006D5EC7">
        <w:rPr>
          <w:rFonts w:ascii="Times New Roman" w:hAnsi="Times New Roman" w:cs="Times New Roman"/>
          <w:lang w:eastAsia="en-US"/>
        </w:rPr>
        <w:t xml:space="preserv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8116B1">
        <w:rPr>
          <w:rFonts w:ascii="Times New Roman" w:hAnsi="Times New Roman" w:cs="Times New Roman"/>
          <w:color w:val="auto"/>
          <w:lang w:bidi="ar-SA"/>
        </w:rPr>
        <w:t xml:space="preserve">QUOTA ASSOCIATIVA 2020 -ASSOCIAZIONE ITALIANA DI TECNOLOGIE MECCANICA-AITEM” </w:t>
      </w:r>
    </w:p>
    <w:p w14:paraId="53EA37B9" w14:textId="3922A19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 xml:space="preserve">l’AITEM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5006430"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8116B1">
        <w:rPr>
          <w:rFonts w:ascii="Times New Roman" w:hAnsi="Times New Roman" w:cs="Times New Roman"/>
          <w:color w:val="auto"/>
          <w:lang w:bidi="ar-SA"/>
        </w:rPr>
        <w:t xml:space="preserve">ASSOCIAZIONE ITALIANA DI TECNOLOGIE MECCANICA-AITEM”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08476E3A"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464999">
        <w:rPr>
          <w:b w:val="0"/>
          <w:sz w:val="24"/>
          <w:szCs w:val="24"/>
        </w:rPr>
        <w:t>LAMINCOMP-</w:t>
      </w:r>
      <w:proofErr w:type="gramStart"/>
      <w:r w:rsidR="00464999">
        <w:rPr>
          <w:b w:val="0"/>
          <w:sz w:val="24"/>
          <w:szCs w:val="24"/>
        </w:rPr>
        <w:t>LOPRESTO</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lastRenderedPageBreak/>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029EE210"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8116B1">
        <w:rPr>
          <w:rFonts w:ascii="Times New Roman" w:hAnsi="Times New Roman" w:cs="Times New Roman"/>
          <w:color w:val="auto"/>
          <w:lang w:bidi="ar-SA"/>
        </w:rPr>
        <w:t xml:space="preserve">QUOTA ASSOCIATIVA 2020 -ASSOCIAZIONE ITALIANA DI TECNOLOGIE MECCANICA-AITEM </w:t>
      </w:r>
      <w:r w:rsidR="00D91937">
        <w:rPr>
          <w:rFonts w:ascii="Times New Roman" w:hAnsi="Times New Roman" w:cs="Times New Roman"/>
        </w:rPr>
        <w:t xml:space="preserve">per un importo pari a Euro </w:t>
      </w:r>
      <w:r w:rsidR="008116B1">
        <w:rPr>
          <w:rFonts w:ascii="Times New Roman" w:hAnsi="Times New Roman" w:cs="Times New Roman"/>
        </w:rPr>
        <w:t>10</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4FE68B89" w:rsidR="00BA67AF" w:rsidRPr="00167B6A" w:rsidRDefault="00366A36" w:rsidP="00464999">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464999">
        <w:rPr>
          <w:b w:val="0"/>
          <w:sz w:val="24"/>
          <w:szCs w:val="24"/>
        </w:rPr>
        <w:t>LAMINCOMP-</w:t>
      </w:r>
      <w:proofErr w:type="gramStart"/>
      <w:r w:rsidR="00464999">
        <w:rPr>
          <w:b w:val="0"/>
          <w:sz w:val="24"/>
          <w:szCs w:val="24"/>
        </w:rPr>
        <w:t>LOPRESTO”-</w:t>
      </w:r>
      <w:proofErr w:type="gramEnd"/>
      <w:r w:rsidR="00464999">
        <w:rPr>
          <w:b w:val="0"/>
          <w:sz w:val="24"/>
          <w:szCs w:val="24"/>
        </w:rPr>
        <w:t xml:space="preserve"> d</w:t>
      </w:r>
      <w:r w:rsidR="00464999"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w:t>
      </w:r>
      <w:r w:rsidR="00F138A8" w:rsidRPr="00167B6A">
        <w:rPr>
          <w:b w:val="0"/>
          <w:sz w:val="24"/>
          <w:szCs w:val="24"/>
        </w:rPr>
        <w:lastRenderedPageBreak/>
        <w:t xml:space="preserve">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8B0AF" w14:textId="77777777" w:rsidR="00AC7D79" w:rsidRDefault="00AC7D79">
      <w:r>
        <w:separator/>
      </w:r>
    </w:p>
  </w:endnote>
  <w:endnote w:type="continuationSeparator" w:id="0">
    <w:p w14:paraId="5CC8C529" w14:textId="77777777" w:rsidR="00AC7D79" w:rsidRDefault="00AC7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BB305" w14:textId="77777777" w:rsidR="00AC7D79" w:rsidRDefault="00AC7D79"/>
  </w:footnote>
  <w:footnote w:type="continuationSeparator" w:id="0">
    <w:p w14:paraId="3E89E7C2" w14:textId="77777777" w:rsidR="00AC7D79" w:rsidRDefault="00AC7D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37FA2"/>
    <w:rsid w:val="00366A36"/>
    <w:rsid w:val="00387963"/>
    <w:rsid w:val="003D57CD"/>
    <w:rsid w:val="003D62B3"/>
    <w:rsid w:val="00464999"/>
    <w:rsid w:val="004C089F"/>
    <w:rsid w:val="004C2779"/>
    <w:rsid w:val="005309CB"/>
    <w:rsid w:val="005C698E"/>
    <w:rsid w:val="005C7F46"/>
    <w:rsid w:val="006354D9"/>
    <w:rsid w:val="00692EB7"/>
    <w:rsid w:val="006D5EC7"/>
    <w:rsid w:val="007756B9"/>
    <w:rsid w:val="00781ECE"/>
    <w:rsid w:val="00792987"/>
    <w:rsid w:val="008116B1"/>
    <w:rsid w:val="00817065"/>
    <w:rsid w:val="008238BF"/>
    <w:rsid w:val="00823D9F"/>
    <w:rsid w:val="00854B8D"/>
    <w:rsid w:val="008761FA"/>
    <w:rsid w:val="00892BEB"/>
    <w:rsid w:val="008C4251"/>
    <w:rsid w:val="00972CEC"/>
    <w:rsid w:val="009D0223"/>
    <w:rsid w:val="00A13EEA"/>
    <w:rsid w:val="00A626DC"/>
    <w:rsid w:val="00A9415F"/>
    <w:rsid w:val="00AA6F81"/>
    <w:rsid w:val="00AC7D79"/>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32386"/>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2020-10-08T16:12:00Z</cp:lastPrinted>
  <dcterms:created xsi:type="dcterms:W3CDTF">2020-10-08T16:13:00Z</dcterms:created>
  <dcterms:modified xsi:type="dcterms:W3CDTF">2020-10-08T16:13:00Z</dcterms:modified>
</cp:coreProperties>
</file>