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3D5100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22294B" w:rsidRDefault="0022294B" w:rsidP="00B57DC3">
            <w:pPr>
              <w:rPr>
                <w:i/>
                <w:sz w:val="24"/>
              </w:rPr>
            </w:pPr>
            <w:r w:rsidRPr="0022294B">
              <w:rPr>
                <w:i/>
                <w:sz w:val="24"/>
              </w:rPr>
              <w:t>Seduta su ruote con braccioli per aule didattiche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22294B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SED2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Pr="00372394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72394" w:rsidRPr="00372394" w:rsidRDefault="00940BF2" w:rsidP="00372394">
      <w:p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seduta</w:t>
      </w:r>
      <w:r w:rsidR="00372394" w:rsidRPr="00372394">
        <w:rPr>
          <w:rFonts w:cstheme="minorHAnsi"/>
          <w:sz w:val="24"/>
        </w:rPr>
        <w:t xml:space="preserve"> operativa girevole su base a 5 razze in </w:t>
      </w:r>
      <w:r w:rsidR="00372394">
        <w:rPr>
          <w:rFonts w:cstheme="minorHAnsi"/>
          <w:sz w:val="24"/>
        </w:rPr>
        <w:t>nylon nero</w:t>
      </w:r>
      <w:r w:rsidR="00372394" w:rsidRPr="00372394">
        <w:rPr>
          <w:rFonts w:cstheme="minorHAnsi"/>
          <w:sz w:val="24"/>
        </w:rPr>
        <w:t xml:space="preserve">. Sedile e schienale dotati di carter in polipropilene colore nero con fotoincisione superficiale antigraffio. Supporto interno in termoplastica stampata con opportune nervature di rinforzo. Imbottitura in poliuretano espanso </w:t>
      </w:r>
      <w:r w:rsidR="00372394">
        <w:rPr>
          <w:rFonts w:cstheme="minorHAnsi"/>
          <w:sz w:val="24"/>
        </w:rPr>
        <w:t>rivestito</w:t>
      </w:r>
      <w:r w:rsidR="00372394" w:rsidRPr="00372394">
        <w:rPr>
          <w:rFonts w:cstheme="minorHAnsi"/>
          <w:sz w:val="24"/>
        </w:rPr>
        <w:t>. Asta reggi schienale in trafilato di acciaio con carter in polipropilene nero.</w:t>
      </w:r>
    </w:p>
    <w:p w:rsidR="00372394" w:rsidRPr="00372394" w:rsidRDefault="00372394" w:rsidP="00372394">
      <w:pPr>
        <w:spacing w:after="0" w:line="240" w:lineRule="auto"/>
        <w:rPr>
          <w:rFonts w:cstheme="minorHAnsi"/>
          <w:sz w:val="24"/>
        </w:rPr>
      </w:pPr>
      <w:r w:rsidRPr="00372394">
        <w:rPr>
          <w:rFonts w:cstheme="minorHAnsi"/>
          <w:sz w:val="24"/>
        </w:rPr>
        <w:t>Base girevole a 5 razze in nylon nero, su ruote o su pattini.</w:t>
      </w:r>
      <w:r>
        <w:rPr>
          <w:rFonts w:cstheme="minorHAnsi"/>
          <w:sz w:val="24"/>
        </w:rPr>
        <w:t xml:space="preserve"> Braccioli a “T” di tipo fisso.</w:t>
      </w:r>
    </w:p>
    <w:p w:rsidR="00372394" w:rsidRDefault="00372394" w:rsidP="00372394">
      <w:pPr>
        <w:spacing w:after="0" w:line="240" w:lineRule="auto"/>
        <w:rPr>
          <w:rFonts w:cstheme="minorHAnsi"/>
          <w:sz w:val="24"/>
        </w:rPr>
      </w:pPr>
      <w:r w:rsidRPr="00372394">
        <w:rPr>
          <w:rFonts w:cstheme="minorHAnsi"/>
          <w:sz w:val="24"/>
        </w:rPr>
        <w:t xml:space="preserve">Schienale regolabile in altezza con sistema di regolazione up-down. Inclinazione di sedile e schienale sincronizzata con possibilità di blocco in 5 posizioni. Elevazione del sedile a gas. </w:t>
      </w:r>
    </w:p>
    <w:p w:rsidR="00372394" w:rsidRPr="00DC6B59" w:rsidRDefault="00372394" w:rsidP="00372394">
      <w:pPr>
        <w:spacing w:after="0" w:line="240" w:lineRule="auto"/>
        <w:jc w:val="both"/>
        <w:rPr>
          <w:rFonts w:ascii="Myriad Pro Light" w:hAnsi="Myriad Pro Light"/>
          <w:sz w:val="24"/>
        </w:rPr>
      </w:pPr>
      <w:r w:rsidRPr="00372394">
        <w:rPr>
          <w:rFonts w:cstheme="minorHAnsi"/>
          <w:sz w:val="24"/>
        </w:rPr>
        <w:t xml:space="preserve">Rivestimento in tessuto </w:t>
      </w:r>
      <w:r>
        <w:rPr>
          <w:rFonts w:cstheme="minorHAnsi"/>
          <w:sz w:val="24"/>
        </w:rPr>
        <w:t>o ecopelle</w:t>
      </w:r>
      <w:r w:rsidRPr="00372394">
        <w:rPr>
          <w:rFonts w:cstheme="minorHAnsi"/>
          <w:sz w:val="24"/>
        </w:rPr>
        <w:t xml:space="preserve"> colore a scelta da cartella. Certificato di Omologazione in classe 1 IM</w:t>
      </w:r>
      <w:r w:rsidRPr="00DC6B59">
        <w:rPr>
          <w:rFonts w:ascii="Myriad Pro Light" w:hAnsi="Myriad Pro Light"/>
          <w:sz w:val="24"/>
        </w:rPr>
        <w:t>.</w:t>
      </w:r>
    </w:p>
    <w:p w:rsidR="00372394" w:rsidRPr="00372394" w:rsidRDefault="00372394" w:rsidP="00372394">
      <w:pPr>
        <w:spacing w:line="240" w:lineRule="auto"/>
        <w:rPr>
          <w:rFonts w:cstheme="minorHAnsi"/>
          <w:sz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9878C9" w:rsidTr="009878C9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9878C9" w:rsidRDefault="009878C9" w:rsidP="009878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Certificazioni essenziali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prodotto offerto deve rispettare i requisiti delle normative vigenti ed in particolare conformarsi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 normative in materia di sicurezza, di stabilità, di igiene e di prevenzione incendi per locali di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pubblico spettacolo.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ditte concorrenti dovranno produrre certificazioni di prova, emessi da Enti di certificazione, per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372394" w:rsidRDefault="00372394" w:rsidP="003723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bookmarkStart w:id="0" w:name="_GoBack"/>
      <w:r>
        <w:rPr>
          <w:rFonts w:ascii="Calibri" w:hAnsi="Calibri" w:cs="Calibri"/>
          <w:sz w:val="24"/>
          <w:szCs w:val="24"/>
        </w:rPr>
        <w:t>Le prove prestazionali verranno eseguite con modalità UNI di seguito riportate :</w:t>
      </w:r>
    </w:p>
    <w:p w:rsidR="00372394" w:rsidRDefault="00372394" w:rsidP="003723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UNI EN 1335:2000</w:t>
      </w:r>
    </w:p>
    <w:p w:rsidR="009050C0" w:rsidRDefault="009050C0" w:rsidP="003723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Omologazione classe 1IM</w:t>
      </w:r>
    </w:p>
    <w:bookmarkEnd w:id="0"/>
    <w:p w:rsidR="009275F9" w:rsidRDefault="009275F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tbl>
      <w:tblPr>
        <w:tblStyle w:val="Grigliatabella"/>
        <w:tblpPr w:leftFromText="141" w:rightFromText="141" w:horzAnchor="margin" w:tblpY="555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EA1FF5" w:rsidTr="00EA1FF5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EA1FF5" w:rsidRDefault="00EA1FF5" w:rsidP="00EA1FF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lastRenderedPageBreak/>
              <w:t>Immagine del prodotto a titolo esemplificativo</w:t>
            </w:r>
          </w:p>
        </w:tc>
      </w:tr>
    </w:tbl>
    <w:p w:rsidR="009275F9" w:rsidRPr="009878C9" w:rsidRDefault="00372394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2127885</wp:posOffset>
            </wp:positionH>
            <wp:positionV relativeFrom="paragraph">
              <wp:posOffset>1044575</wp:posOffset>
            </wp:positionV>
            <wp:extent cx="2479330" cy="3576278"/>
            <wp:effectExtent l="0" t="0" r="0" b="571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87 Light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517" t="10675" r="5249" b="3503"/>
                    <a:stretch/>
                  </pic:blipFill>
                  <pic:spPr bwMode="auto">
                    <a:xfrm>
                      <a:off x="0" y="0"/>
                      <a:ext cx="2479330" cy="35762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9275F9" w:rsidRPr="009878C9" w:rsidSect="006B47B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2B5" w:rsidRDefault="00CD02B5" w:rsidP="00B9390B">
      <w:pPr>
        <w:spacing w:after="0" w:line="240" w:lineRule="auto"/>
      </w:pPr>
      <w:r>
        <w:separator/>
      </w:r>
    </w:p>
  </w:endnote>
  <w:endnote w:type="continuationSeparator" w:id="0">
    <w:p w:rsidR="00CD02B5" w:rsidRDefault="00CD02B5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2B5" w:rsidRDefault="00CD02B5" w:rsidP="00B9390B">
      <w:pPr>
        <w:spacing w:after="0" w:line="240" w:lineRule="auto"/>
      </w:pPr>
      <w:r>
        <w:separator/>
      </w:r>
    </w:p>
  </w:footnote>
  <w:footnote w:type="continuationSeparator" w:id="0">
    <w:p w:rsidR="00CD02B5" w:rsidRDefault="00CD02B5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22294B"/>
    <w:rsid w:val="002705FD"/>
    <w:rsid w:val="00372394"/>
    <w:rsid w:val="00382BA2"/>
    <w:rsid w:val="003D5100"/>
    <w:rsid w:val="006B47B4"/>
    <w:rsid w:val="006C16C7"/>
    <w:rsid w:val="009050C0"/>
    <w:rsid w:val="009275F9"/>
    <w:rsid w:val="00940BF2"/>
    <w:rsid w:val="009878C9"/>
    <w:rsid w:val="009B0FF3"/>
    <w:rsid w:val="00B57DC3"/>
    <w:rsid w:val="00B9390B"/>
    <w:rsid w:val="00CD02B5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47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7476B3"/>
    <w:rsid w:val="007F5D9E"/>
    <w:rsid w:val="00C03442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34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10</cp:revision>
  <dcterms:created xsi:type="dcterms:W3CDTF">2017-05-04T14:40:00Z</dcterms:created>
  <dcterms:modified xsi:type="dcterms:W3CDTF">2019-07-23T13:02:00Z</dcterms:modified>
</cp:coreProperties>
</file>