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B7597" w:rsidRDefault="00181721">
      <w:pPr>
        <w:rPr>
          <w:rFonts w:ascii="Arial" w:hAnsi="Arial" w:cs="Arial"/>
          <w:b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.25pt;margin-top:-7.3pt;width:50.5pt;height:49.8pt;z-index:251657728;mso-wrap-distance-left:7.05pt;mso-wrap-distance-right:7.05pt;mso-position-horizontal:absolute;mso-position-horizontal-relative:page;mso-position-vertical:absolute;mso-position-vertical-relative:text" stroked="f">
            <v:fill opacity="0" color2="black"/>
            <v:textbox inset="0,0,0,0">
              <w:txbxContent>
                <w:p w:rsidR="003B7597" w:rsidRDefault="00181721">
                  <w:r>
                    <w:rPr>
                      <w:color w:val="808080"/>
                      <w:sz w:val="1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1.35pt;height:50.1pt" filled="t">
                        <v:fill opacity="0" color2="black"/>
                        <v:imagedata r:id="rId7" o:title=""/>
                      </v:shape>
                    </w:pict>
                  </w:r>
                </w:p>
              </w:txbxContent>
            </v:textbox>
            <w10:wrap type="square" side="largest" anchorx="page"/>
          </v:shape>
        </w:pict>
      </w:r>
      <w:r w:rsidR="008F1FF2">
        <w:t xml:space="preserve"> UNIVERSITA' DEGLI STUDI DI NAPOLI </w:t>
      </w:r>
    </w:p>
    <w:p w:rsidR="003B7597" w:rsidRDefault="008F1FF2">
      <w:pPr>
        <w:pStyle w:val="Testonormale1"/>
        <w:rPr>
          <w:sz w:val="22"/>
        </w:rPr>
      </w:pPr>
      <w:r>
        <w:rPr>
          <w:rFonts w:ascii="Arial" w:hAnsi="Arial" w:cs="Arial"/>
          <w:b/>
          <w:sz w:val="24"/>
          <w:szCs w:val="24"/>
        </w:rPr>
        <w:t>CENTRO INTERDIPARTIMENTALE DI RICERCA PER I BENI ARCHITETTONICI E AMBIENTALI E PER LA PROGETTAZIONE URBANA</w:t>
      </w:r>
    </w:p>
    <w:p w:rsidR="003B7597" w:rsidRDefault="008F1FF2">
      <w:pPr>
        <w:rPr>
          <w:sz w:val="19"/>
        </w:rPr>
      </w:pPr>
      <w:r>
        <w:rPr>
          <w:sz w:val="22"/>
        </w:rPr>
        <w:tab/>
        <w:t xml:space="preserve">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8"/>
          <w:szCs w:val="28"/>
        </w:rPr>
        <w:t>B</w:t>
      </w:r>
      <w:r>
        <w:rPr>
          <w:sz w:val="36"/>
          <w:szCs w:val="36"/>
        </w:rPr>
        <w:t>A</w:t>
      </w:r>
      <w:r>
        <w:rPr>
          <w:sz w:val="28"/>
          <w:szCs w:val="28"/>
        </w:rPr>
        <w:t>P</w:t>
      </w:r>
    </w:p>
    <w:p w:rsidR="003B7597" w:rsidRDefault="003B7597">
      <w:pPr>
        <w:rPr>
          <w:sz w:val="19"/>
        </w:rPr>
      </w:pPr>
    </w:p>
    <w:p w:rsidR="003B7597" w:rsidRDefault="003B7597">
      <w:pPr>
        <w:rPr>
          <w:sz w:val="19"/>
        </w:rPr>
      </w:pPr>
    </w:p>
    <w:p w:rsidR="003B7597" w:rsidRDefault="003B7597">
      <w:pPr>
        <w:jc w:val="both"/>
      </w:pPr>
    </w:p>
    <w:p w:rsidR="003B7597" w:rsidRDefault="003B7597">
      <w:pPr>
        <w:jc w:val="both"/>
      </w:pPr>
    </w:p>
    <w:p w:rsidR="003B7597" w:rsidRDefault="003B7597">
      <w:pPr>
        <w:jc w:val="both"/>
        <w:rPr>
          <w:rFonts w:ascii="Calibri" w:hAnsi="Calibri" w:cs="Calibri"/>
        </w:rPr>
      </w:pPr>
    </w:p>
    <w:p w:rsidR="003B7597" w:rsidRDefault="00633BE0">
      <w:pPr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n. </w:t>
      </w:r>
      <w:r w:rsidR="00565AAB">
        <w:rPr>
          <w:rFonts w:ascii="Calibri" w:hAnsi="Calibri" w:cs="Calibri"/>
          <w:sz w:val="22"/>
          <w:szCs w:val="22"/>
        </w:rPr>
        <w:t>3</w:t>
      </w:r>
      <w:r w:rsidR="00C32D57">
        <w:rPr>
          <w:rFonts w:ascii="Calibri" w:hAnsi="Calibri" w:cs="Calibri"/>
          <w:sz w:val="22"/>
          <w:szCs w:val="22"/>
        </w:rPr>
        <w:t xml:space="preserve"> del </w:t>
      </w:r>
      <w:r w:rsidR="00565AAB">
        <w:rPr>
          <w:rFonts w:ascii="Calibri" w:hAnsi="Calibri" w:cs="Calibri"/>
          <w:sz w:val="22"/>
          <w:szCs w:val="22"/>
        </w:rPr>
        <w:t>02</w:t>
      </w:r>
      <w:r>
        <w:rPr>
          <w:rFonts w:ascii="Calibri" w:hAnsi="Calibri" w:cs="Calibri"/>
          <w:sz w:val="22"/>
          <w:szCs w:val="22"/>
        </w:rPr>
        <w:t>/0</w:t>
      </w:r>
      <w:r w:rsidR="00565AAB">
        <w:rPr>
          <w:rFonts w:ascii="Calibri" w:hAnsi="Calibri" w:cs="Calibri"/>
          <w:sz w:val="22"/>
          <w:szCs w:val="22"/>
        </w:rPr>
        <w:t>2</w:t>
      </w:r>
      <w:r w:rsidR="000E4454">
        <w:rPr>
          <w:rFonts w:ascii="Calibri" w:hAnsi="Calibri" w:cs="Calibri"/>
          <w:sz w:val="22"/>
          <w:szCs w:val="22"/>
        </w:rPr>
        <w:t>/201</w:t>
      </w:r>
      <w:r w:rsidR="00565AAB">
        <w:rPr>
          <w:rFonts w:ascii="Calibri" w:hAnsi="Calibri" w:cs="Calibri"/>
          <w:sz w:val="22"/>
          <w:szCs w:val="22"/>
        </w:rPr>
        <w:t>8</w:t>
      </w:r>
    </w:p>
    <w:p w:rsidR="003B7597" w:rsidRDefault="003B7597">
      <w:pPr>
        <w:rPr>
          <w:rFonts w:ascii="Calibri" w:hAnsi="Calibri" w:cs="Calibri"/>
          <w:sz w:val="22"/>
          <w:szCs w:val="22"/>
        </w:rPr>
      </w:pPr>
    </w:p>
    <w:p w:rsidR="003B7597" w:rsidRDefault="008F1FF2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sz w:val="22"/>
          <w:szCs w:val="22"/>
        </w:rPr>
        <w:t xml:space="preserve">Il Direttore del Centro Interdipartimentale di Ricerca per i Beni Architettonici e Ambientali e per la Progettazione Urbana </w:t>
      </w:r>
      <w:r>
        <w:rPr>
          <w:rFonts w:ascii="Calibri" w:hAnsi="Calibri" w:cs="Calibri"/>
          <w:b/>
          <w:sz w:val="28"/>
          <w:szCs w:val="28"/>
        </w:rPr>
        <w:t>B</w:t>
      </w:r>
      <w:r>
        <w:rPr>
          <w:rFonts w:ascii="Calibri" w:hAnsi="Calibri" w:cs="Calibri"/>
          <w:b/>
          <w:sz w:val="36"/>
          <w:szCs w:val="36"/>
        </w:rPr>
        <w:t>A</w:t>
      </w:r>
      <w:r>
        <w:rPr>
          <w:rFonts w:ascii="Calibri" w:hAnsi="Calibri" w:cs="Calibri"/>
          <w:b/>
          <w:sz w:val="28"/>
          <w:szCs w:val="28"/>
        </w:rPr>
        <w:t>P</w:t>
      </w:r>
    </w:p>
    <w:p w:rsidR="003B7597" w:rsidRDefault="003B7597">
      <w:pPr>
        <w:jc w:val="both"/>
        <w:rPr>
          <w:rFonts w:ascii="Calibri" w:hAnsi="Calibri" w:cs="Calibri"/>
          <w:bCs/>
        </w:rPr>
      </w:pPr>
    </w:p>
    <w:p w:rsidR="005C084D" w:rsidRPr="005C084D" w:rsidRDefault="005C084D" w:rsidP="005C084D">
      <w:pPr>
        <w:jc w:val="center"/>
        <w:rPr>
          <w:kern w:val="1"/>
        </w:rPr>
      </w:pPr>
      <w:r w:rsidRPr="005C084D">
        <w:rPr>
          <w:kern w:val="1"/>
        </w:rPr>
        <w:t>DETERMINA A CONTRARRE</w:t>
      </w:r>
    </w:p>
    <w:p w:rsidR="005C084D" w:rsidRPr="005C084D" w:rsidRDefault="005C084D" w:rsidP="005C084D">
      <w:pPr>
        <w:jc w:val="center"/>
        <w:rPr>
          <w:kern w:val="1"/>
        </w:rPr>
      </w:pPr>
    </w:p>
    <w:p w:rsidR="005C084D" w:rsidRPr="00633BE0" w:rsidRDefault="005C084D" w:rsidP="005C084D">
      <w:pPr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CIG </w:t>
      </w:r>
      <w:r w:rsidR="00565AAB">
        <w:rPr>
          <w:rFonts w:ascii="ArialMT" w:hAnsi="ArialMT" w:cs="ArialMT"/>
          <w:sz w:val="22"/>
          <w:szCs w:val="22"/>
          <w:lang w:eastAsia="it-IT"/>
        </w:rPr>
        <w:t>Z3521F0466</w:t>
      </w:r>
    </w:p>
    <w:p w:rsidR="005C084D" w:rsidRPr="00633BE0" w:rsidRDefault="005C084D" w:rsidP="005C084D">
      <w:pPr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eastAsia="NSimSun" w:hAnsi="Arial" w:cs="Arial"/>
          <w:kern w:val="1"/>
          <w:sz w:val="22"/>
          <w:szCs w:val="22"/>
        </w:rPr>
      </w:pPr>
      <w:r w:rsidRPr="00633BE0">
        <w:rPr>
          <w:rFonts w:ascii="Arial" w:eastAsia="NSimSun" w:hAnsi="Arial" w:cs="Arial"/>
          <w:kern w:val="1"/>
          <w:sz w:val="22"/>
          <w:szCs w:val="22"/>
        </w:rPr>
        <w:t xml:space="preserve">CONSIDERATO che il Centro Interdipartimentale di Ricerca per i Beni Architettonici e Ambientali e per la Progettazione Urbana (BAP) congiuntamente </w:t>
      </w:r>
      <w:r w:rsidR="00565AAB">
        <w:rPr>
          <w:rFonts w:ascii="Arial" w:eastAsia="NSimSun" w:hAnsi="Arial" w:cs="Arial"/>
          <w:kern w:val="1"/>
          <w:sz w:val="22"/>
          <w:szCs w:val="22"/>
        </w:rPr>
        <w:t>con altri enti</w:t>
      </w:r>
      <w:r w:rsidRPr="00633BE0">
        <w:rPr>
          <w:rFonts w:ascii="Arial" w:eastAsia="NSimSun" w:hAnsi="Arial" w:cs="Arial"/>
          <w:kern w:val="1"/>
          <w:sz w:val="22"/>
          <w:szCs w:val="22"/>
        </w:rPr>
        <w:t xml:space="preserve"> organizzer</w:t>
      </w:r>
      <w:r w:rsidR="00565AAB">
        <w:rPr>
          <w:rFonts w:ascii="Arial" w:eastAsia="NSimSun" w:hAnsi="Arial" w:cs="Arial"/>
          <w:kern w:val="1"/>
          <w:sz w:val="22"/>
          <w:szCs w:val="22"/>
        </w:rPr>
        <w:t xml:space="preserve">à il </w:t>
      </w:r>
      <w:r w:rsidR="00565AAB" w:rsidRPr="002E50E7">
        <w:rPr>
          <w:rFonts w:ascii="Arial" w:hAnsi="Arial" w:cs="Arial"/>
          <w:sz w:val="24"/>
          <w:szCs w:val="24"/>
        </w:rPr>
        <w:t>convegno “Assetti fondiari alternativi. Un altro modo di possedere?” che si svolgerà martedì 13 febbraio 2018 ore 9.30 a Napoli, presso la Chiesa di San Marcellino</w:t>
      </w:r>
      <w:r w:rsidRPr="00633BE0">
        <w:rPr>
          <w:rFonts w:ascii="Arial" w:eastAsia="NSimSun" w:hAnsi="Arial" w:cs="Arial"/>
          <w:kern w:val="1"/>
          <w:sz w:val="22"/>
          <w:szCs w:val="22"/>
        </w:rPr>
        <w:t>;</w:t>
      </w:r>
    </w:p>
    <w:p w:rsidR="005C084D" w:rsidRPr="00633BE0" w:rsidRDefault="005C084D" w:rsidP="005C084D">
      <w:pPr>
        <w:jc w:val="both"/>
        <w:rPr>
          <w:rFonts w:ascii="Arial" w:eastAsia="NSimSun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i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RAVVISATA la necessità di procedere all'affidamento </w:t>
      </w:r>
      <w:r w:rsidR="00633BE0" w:rsidRPr="00633BE0">
        <w:rPr>
          <w:rFonts w:ascii="Arial" w:hAnsi="Arial" w:cs="Arial"/>
          <w:sz w:val="22"/>
          <w:szCs w:val="22"/>
        </w:rPr>
        <w:t xml:space="preserve">del </w:t>
      </w:r>
      <w:r w:rsidR="00633BE0" w:rsidRPr="00633BE0">
        <w:rPr>
          <w:rFonts w:ascii="Arial" w:hAnsi="Arial" w:cs="Arial"/>
          <w:bCs/>
          <w:sz w:val="22"/>
          <w:szCs w:val="22"/>
          <w:lang w:eastAsia="it-IT"/>
        </w:rPr>
        <w:t xml:space="preserve">servizio A/V </w:t>
      </w:r>
      <w:r w:rsidR="00565AAB">
        <w:rPr>
          <w:rFonts w:ascii="Arial" w:hAnsi="Arial" w:cs="Arial"/>
          <w:bCs/>
          <w:sz w:val="22"/>
          <w:szCs w:val="22"/>
          <w:lang w:eastAsia="it-IT"/>
        </w:rPr>
        <w:t>nell’ambito del convegno suddetto</w:t>
      </w:r>
      <w:r w:rsidRPr="00633BE0">
        <w:rPr>
          <w:rFonts w:ascii="Arial" w:hAnsi="Arial" w:cs="Arial"/>
          <w:i/>
          <w:kern w:val="1"/>
          <w:sz w:val="22"/>
          <w:szCs w:val="22"/>
        </w:rPr>
        <w:t>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bookmarkStart w:id="0" w:name="_Hlk487619083"/>
      <w:r w:rsidRPr="00633BE0">
        <w:rPr>
          <w:rFonts w:ascii="Arial" w:hAnsi="Arial" w:cs="Arial"/>
          <w:kern w:val="1"/>
          <w:sz w:val="22"/>
          <w:szCs w:val="22"/>
        </w:rPr>
        <w:t>VISTO</w:t>
      </w:r>
      <w:bookmarkEnd w:id="0"/>
      <w:r w:rsidRPr="00633BE0">
        <w:rPr>
          <w:rFonts w:ascii="Arial" w:hAnsi="Arial" w:cs="Arial"/>
          <w:kern w:val="1"/>
          <w:sz w:val="22"/>
          <w:szCs w:val="22"/>
        </w:rPr>
        <w:t xml:space="preserve"> il vigente Regolamento per l’Amministrazione, la Finanza e la Contabilità, in particolare l’art. 56;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633BE0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VISTO il D.D. n. </w:t>
      </w:r>
      <w:r w:rsidR="00565AAB">
        <w:rPr>
          <w:rFonts w:ascii="Arial" w:hAnsi="Arial" w:cs="Arial"/>
          <w:kern w:val="1"/>
          <w:sz w:val="22"/>
          <w:szCs w:val="22"/>
        </w:rPr>
        <w:t>2</w:t>
      </w:r>
      <w:r w:rsidR="005C084D" w:rsidRPr="00633BE0">
        <w:rPr>
          <w:rFonts w:ascii="Arial" w:hAnsi="Arial" w:cs="Arial"/>
          <w:kern w:val="1"/>
          <w:sz w:val="22"/>
          <w:szCs w:val="22"/>
        </w:rPr>
        <w:t>/201</w:t>
      </w:r>
      <w:r w:rsidR="00565AAB">
        <w:rPr>
          <w:rFonts w:ascii="Arial" w:hAnsi="Arial" w:cs="Arial"/>
          <w:kern w:val="1"/>
          <w:sz w:val="22"/>
          <w:szCs w:val="22"/>
        </w:rPr>
        <w:t>8</w:t>
      </w:r>
      <w:r w:rsidR="005C084D" w:rsidRPr="00633BE0">
        <w:rPr>
          <w:rFonts w:ascii="Arial" w:hAnsi="Arial" w:cs="Arial"/>
          <w:kern w:val="1"/>
          <w:sz w:val="22"/>
          <w:szCs w:val="22"/>
        </w:rPr>
        <w:t xml:space="preserve">, con il quale si è provveduto a conferire </w:t>
      </w:r>
      <w:r w:rsidRPr="00633BE0">
        <w:rPr>
          <w:rFonts w:ascii="Arial" w:hAnsi="Arial" w:cs="Arial"/>
          <w:kern w:val="1"/>
          <w:sz w:val="22"/>
          <w:szCs w:val="22"/>
        </w:rPr>
        <w:t>al</w:t>
      </w:r>
      <w:r w:rsidR="00565AAB">
        <w:rPr>
          <w:rFonts w:ascii="Arial" w:hAnsi="Arial" w:cs="Arial"/>
          <w:kern w:val="1"/>
          <w:sz w:val="22"/>
          <w:szCs w:val="22"/>
        </w:rPr>
        <w:t xml:space="preserve">la dott.ssa Gemma Belli </w:t>
      </w:r>
      <w:r w:rsidR="005C084D" w:rsidRPr="00633BE0">
        <w:rPr>
          <w:rFonts w:ascii="Arial" w:hAnsi="Arial" w:cs="Arial"/>
          <w:kern w:val="1"/>
          <w:sz w:val="22"/>
          <w:szCs w:val="22"/>
        </w:rPr>
        <w:t>l’incarico di Responsabile Unico del Procedimento de quo;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VISTO il </w:t>
      </w:r>
      <w:proofErr w:type="spellStart"/>
      <w:proofErr w:type="gramStart"/>
      <w:r w:rsidRPr="00633BE0">
        <w:rPr>
          <w:rFonts w:ascii="Arial" w:hAnsi="Arial" w:cs="Arial"/>
          <w:kern w:val="1"/>
          <w:sz w:val="22"/>
          <w:szCs w:val="22"/>
        </w:rPr>
        <w:t>D.Lgs</w:t>
      </w:r>
      <w:proofErr w:type="gramEnd"/>
      <w:r w:rsidRPr="00633BE0">
        <w:rPr>
          <w:rFonts w:ascii="Arial" w:hAnsi="Arial" w:cs="Arial"/>
          <w:kern w:val="1"/>
          <w:sz w:val="22"/>
          <w:szCs w:val="22"/>
        </w:rPr>
        <w:t>.</w:t>
      </w:r>
      <w:proofErr w:type="spellEnd"/>
      <w:r w:rsidRPr="00633BE0">
        <w:rPr>
          <w:rFonts w:ascii="Arial" w:hAnsi="Arial" w:cs="Arial"/>
          <w:kern w:val="1"/>
          <w:sz w:val="22"/>
          <w:szCs w:val="22"/>
        </w:rPr>
        <w:t xml:space="preserve"> 18 aprile 2016, n. 50- Codice dei Contratti Pubblici;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VISTE le linee guida dell’ANAC emesse in data 26 ottobre 2016, intitolate “Procedure per l’affidamento dei contratti pubblici di importo inferiore alle soglie di rilevanza comunitaria, indagini di mercato e formazione e gestione degli elenchi di operatori economici;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VISTO il </w:t>
      </w:r>
      <w:proofErr w:type="spellStart"/>
      <w:proofErr w:type="gramStart"/>
      <w:r w:rsidRPr="00633BE0">
        <w:rPr>
          <w:rFonts w:ascii="Arial" w:hAnsi="Arial" w:cs="Arial"/>
          <w:kern w:val="1"/>
          <w:sz w:val="22"/>
          <w:szCs w:val="22"/>
        </w:rPr>
        <w:t>D.Lgs</w:t>
      </w:r>
      <w:proofErr w:type="spellEnd"/>
      <w:proofErr w:type="gramEnd"/>
      <w:r w:rsidRPr="00633BE0">
        <w:rPr>
          <w:rFonts w:ascii="Arial" w:hAnsi="Arial" w:cs="Arial"/>
          <w:kern w:val="1"/>
          <w:sz w:val="22"/>
          <w:szCs w:val="22"/>
        </w:rPr>
        <w:t xml:space="preserve"> 50/2016, ed in particolare il comma 2 dell’art. 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CONSIDERATO che l’art. 37, comma 1 del </w:t>
      </w:r>
      <w:proofErr w:type="spellStart"/>
      <w:r w:rsidRPr="00633BE0">
        <w:rPr>
          <w:rFonts w:ascii="Arial" w:hAnsi="Arial" w:cs="Arial"/>
          <w:kern w:val="1"/>
          <w:sz w:val="22"/>
          <w:szCs w:val="22"/>
        </w:rPr>
        <w:t>D.Lgs</w:t>
      </w:r>
      <w:proofErr w:type="spellEnd"/>
      <w:r w:rsidRPr="00633BE0">
        <w:rPr>
          <w:rFonts w:ascii="Arial" w:hAnsi="Arial" w:cs="Arial"/>
          <w:kern w:val="1"/>
          <w:sz w:val="22"/>
          <w:szCs w:val="22"/>
        </w:rPr>
        <w:t xml:space="preserve"> 18</w:t>
      </w:r>
      <w:bookmarkStart w:id="1" w:name="_GoBack"/>
      <w:bookmarkEnd w:id="1"/>
      <w:r w:rsidRPr="00633BE0">
        <w:rPr>
          <w:rFonts w:ascii="Arial" w:hAnsi="Arial" w:cs="Arial"/>
          <w:kern w:val="1"/>
          <w:sz w:val="22"/>
          <w:szCs w:val="22"/>
        </w:rPr>
        <w:t xml:space="preserve"> aprile 2016,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40.000,00 euro e di lavori di importo inferiore a 150.000,00 euro, nonché attraverso l’effettuazione di ordini a valere su strumenti di acquisto messi a disposizione dalle centrali di committenza;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VERIFICATA ed accertata la disponibilità finanziaria sul fondo del progetto </w:t>
      </w:r>
      <w:r w:rsidRPr="00633BE0">
        <w:rPr>
          <w:rFonts w:ascii="Arial" w:hAnsi="Arial" w:cs="Arial"/>
          <w:color w:val="333333"/>
          <w:kern w:val="1"/>
          <w:sz w:val="22"/>
          <w:szCs w:val="22"/>
          <w:shd w:val="clear" w:color="auto" w:fill="FFFFFF"/>
        </w:rPr>
        <w:t>0500_BAP_VIII_CONGRESSO_AISU</w:t>
      </w:r>
      <w:r w:rsidRPr="00633BE0">
        <w:rPr>
          <w:rFonts w:ascii="Arial" w:hAnsi="Arial" w:cs="Arial"/>
          <w:kern w:val="1"/>
          <w:sz w:val="22"/>
          <w:szCs w:val="22"/>
        </w:rPr>
        <w:t>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CONSIDERATO che i beni o i servizi di cui trattasi non sono presenti in nessuna Convenzione Consip attiva;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RITENUTO opportuno esperire una trattativa diretta in </w:t>
      </w:r>
      <w:proofErr w:type="spellStart"/>
      <w:r w:rsidRPr="00633BE0">
        <w:rPr>
          <w:rFonts w:ascii="Arial" w:hAnsi="Arial" w:cs="Arial"/>
          <w:kern w:val="1"/>
          <w:sz w:val="22"/>
          <w:szCs w:val="22"/>
        </w:rPr>
        <w:t>Mepa</w:t>
      </w:r>
      <w:proofErr w:type="spellEnd"/>
      <w:r w:rsidRPr="00633BE0">
        <w:rPr>
          <w:rFonts w:ascii="Arial" w:hAnsi="Arial" w:cs="Arial"/>
          <w:kern w:val="1"/>
          <w:sz w:val="22"/>
          <w:szCs w:val="22"/>
        </w:rPr>
        <w:t xml:space="preserve"> quale modalità di negoziazione semplificata rispetto alla RDO, invitando </w:t>
      </w:r>
      <w:r w:rsidR="00565AAB">
        <w:rPr>
          <w:rFonts w:ascii="Arial" w:hAnsi="Arial" w:cs="Arial"/>
          <w:kern w:val="1"/>
          <w:sz w:val="22"/>
          <w:szCs w:val="22"/>
        </w:rPr>
        <w:t>tre</w:t>
      </w:r>
      <w:r w:rsidRPr="00633BE0">
        <w:rPr>
          <w:rFonts w:ascii="Arial" w:hAnsi="Arial" w:cs="Arial"/>
          <w:kern w:val="1"/>
          <w:sz w:val="22"/>
          <w:szCs w:val="22"/>
        </w:rPr>
        <w:t xml:space="preserve"> ditte selezionate</w:t>
      </w:r>
      <w:r w:rsidR="00565AAB">
        <w:rPr>
          <w:rFonts w:ascii="Arial" w:hAnsi="Arial" w:cs="Arial"/>
          <w:kern w:val="1"/>
          <w:sz w:val="22"/>
          <w:szCs w:val="22"/>
        </w:rPr>
        <w:t>, indicate direttamente dal Rettorato dell’Ateneo Federico II,</w:t>
      </w:r>
      <w:r w:rsidRPr="00633BE0">
        <w:rPr>
          <w:rFonts w:ascii="Arial" w:hAnsi="Arial" w:cs="Arial"/>
          <w:kern w:val="1"/>
          <w:sz w:val="22"/>
          <w:szCs w:val="22"/>
        </w:rPr>
        <w:t xml:space="preserve"> attraverso la piattaforma MEPA opzionando, nella scelta dei requisiti, la localizzazione e la tempistica di consegna, data l'urgenza di provvedere quanto prima alla </w:t>
      </w:r>
      <w:r w:rsidR="00633BE0" w:rsidRPr="00633BE0">
        <w:rPr>
          <w:rFonts w:ascii="Arial" w:hAnsi="Arial" w:cs="Arial"/>
          <w:kern w:val="1"/>
          <w:sz w:val="22"/>
          <w:szCs w:val="22"/>
        </w:rPr>
        <w:t>fornitura del servizio in oggetto</w:t>
      </w:r>
      <w:r w:rsidRPr="00633BE0">
        <w:rPr>
          <w:rFonts w:ascii="Arial" w:hAnsi="Arial" w:cs="Arial"/>
          <w:kern w:val="1"/>
          <w:sz w:val="22"/>
          <w:szCs w:val="22"/>
        </w:rPr>
        <w:t xml:space="preserve"> per la realizzazione del Convegno;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RILEVATO che alle </w:t>
      </w:r>
      <w:r w:rsidR="00565AAB">
        <w:rPr>
          <w:rFonts w:ascii="Arial" w:hAnsi="Arial" w:cs="Arial"/>
          <w:kern w:val="1"/>
          <w:sz w:val="22"/>
          <w:szCs w:val="22"/>
        </w:rPr>
        <w:t>tre</w:t>
      </w:r>
      <w:r w:rsidRPr="00633BE0">
        <w:rPr>
          <w:rFonts w:ascii="Arial" w:hAnsi="Arial" w:cs="Arial"/>
          <w:kern w:val="1"/>
          <w:sz w:val="22"/>
          <w:szCs w:val="22"/>
        </w:rPr>
        <w:t xml:space="preserve"> trattative dirette esperite ha</w:t>
      </w:r>
      <w:r w:rsidR="00633BE0" w:rsidRPr="00633BE0">
        <w:rPr>
          <w:rFonts w:ascii="Arial" w:hAnsi="Arial" w:cs="Arial"/>
          <w:kern w:val="1"/>
          <w:sz w:val="22"/>
          <w:szCs w:val="22"/>
        </w:rPr>
        <w:t>nno</w:t>
      </w:r>
      <w:r w:rsidRPr="00633BE0">
        <w:rPr>
          <w:rFonts w:ascii="Arial" w:hAnsi="Arial" w:cs="Arial"/>
          <w:kern w:val="1"/>
          <w:sz w:val="22"/>
          <w:szCs w:val="22"/>
        </w:rPr>
        <w:t xml:space="preserve"> risposto</w:t>
      </w:r>
      <w:r w:rsidR="00CB7518" w:rsidRPr="00633BE0">
        <w:rPr>
          <w:rFonts w:ascii="Arial" w:hAnsi="Arial" w:cs="Arial"/>
          <w:kern w:val="1"/>
          <w:sz w:val="22"/>
          <w:szCs w:val="22"/>
        </w:rPr>
        <w:t xml:space="preserve"> </w:t>
      </w:r>
      <w:r w:rsidR="00565AAB">
        <w:rPr>
          <w:rFonts w:ascii="Arial" w:hAnsi="Arial" w:cs="Arial"/>
          <w:kern w:val="1"/>
          <w:sz w:val="22"/>
          <w:szCs w:val="22"/>
        </w:rPr>
        <w:t>due</w:t>
      </w:r>
      <w:r w:rsidR="00633BE0" w:rsidRPr="00633BE0">
        <w:rPr>
          <w:rFonts w:ascii="Arial" w:hAnsi="Arial" w:cs="Arial"/>
          <w:kern w:val="1"/>
          <w:sz w:val="22"/>
          <w:szCs w:val="22"/>
        </w:rPr>
        <w:t xml:space="preserve"> operatori economici</w:t>
      </w:r>
      <w:r w:rsidRPr="00633BE0">
        <w:rPr>
          <w:rFonts w:ascii="Arial" w:hAnsi="Arial" w:cs="Arial"/>
          <w:kern w:val="1"/>
          <w:sz w:val="22"/>
          <w:szCs w:val="22"/>
        </w:rPr>
        <w:t>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RITENUTA congrua l'offerta presentata dalla Ditta </w:t>
      </w:r>
      <w:r w:rsidR="00565AAB">
        <w:rPr>
          <w:rFonts w:ascii="ArialMT" w:hAnsi="ArialMT" w:cs="ArialMT"/>
          <w:sz w:val="22"/>
          <w:szCs w:val="22"/>
          <w:lang w:eastAsia="it-IT"/>
        </w:rPr>
        <w:t>SALVI CONGRESS DI SALVI VINCENZO</w:t>
      </w:r>
      <w:r w:rsidR="00633BE0" w:rsidRPr="00633BE0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Pr="00633BE0">
        <w:rPr>
          <w:rFonts w:ascii="Arial" w:hAnsi="Arial" w:cs="Arial"/>
          <w:kern w:val="1"/>
          <w:sz w:val="22"/>
          <w:szCs w:val="22"/>
        </w:rPr>
        <w:t>per un importo di</w:t>
      </w:r>
      <w:r w:rsidR="00CB7518" w:rsidRPr="00633BE0">
        <w:rPr>
          <w:rFonts w:ascii="Arial" w:hAnsi="Arial" w:cs="Arial"/>
          <w:kern w:val="1"/>
          <w:sz w:val="22"/>
          <w:szCs w:val="22"/>
        </w:rPr>
        <w:t xml:space="preserve"> </w:t>
      </w:r>
      <w:r w:rsidR="00565AAB">
        <w:rPr>
          <w:rFonts w:ascii="Arial" w:hAnsi="Arial" w:cs="Arial"/>
          <w:kern w:val="1"/>
          <w:sz w:val="22"/>
          <w:szCs w:val="22"/>
        </w:rPr>
        <w:t>380,00</w:t>
      </w:r>
      <w:r w:rsidR="00CB7518" w:rsidRPr="00633BE0">
        <w:rPr>
          <w:rFonts w:ascii="Arial" w:hAnsi="Arial" w:cs="Arial"/>
          <w:kern w:val="1"/>
          <w:sz w:val="22"/>
          <w:szCs w:val="22"/>
        </w:rPr>
        <w:t xml:space="preserve"> euro + IVA come per legge;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DICHIARATO ai sensi dell’art. 76 del D.P.R. 445/2000 l’assenza di parentela e/o affinità con titolari, amministratori, soci e dipendenti della ditta affidataria da parte del Responsabile unico del procedimento (e/o da parte dell’eventuale personale di supporto);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DETERMINA DI AGGIUDICAZIONE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Per le motivazioni indicate in premessa si aggiudica la fornitura de quo, ai sensi dell’art. 36, comma 2 lett. 8 del </w:t>
      </w:r>
      <w:proofErr w:type="spellStart"/>
      <w:proofErr w:type="gramStart"/>
      <w:r w:rsidRPr="00633BE0">
        <w:rPr>
          <w:rFonts w:ascii="Arial" w:hAnsi="Arial" w:cs="Arial"/>
          <w:kern w:val="1"/>
          <w:sz w:val="22"/>
          <w:szCs w:val="22"/>
        </w:rPr>
        <w:t>D.Lgs</w:t>
      </w:r>
      <w:proofErr w:type="spellEnd"/>
      <w:proofErr w:type="gramEnd"/>
      <w:r w:rsidRPr="00633BE0">
        <w:rPr>
          <w:rFonts w:ascii="Arial" w:hAnsi="Arial" w:cs="Arial"/>
          <w:kern w:val="1"/>
          <w:sz w:val="22"/>
          <w:szCs w:val="22"/>
        </w:rPr>
        <w:t xml:space="preserve"> 50/2016,  alla ditta  </w:t>
      </w:r>
      <w:r w:rsidR="00565AAB">
        <w:rPr>
          <w:rFonts w:ascii="ArialMT" w:hAnsi="ArialMT" w:cs="ArialMT"/>
          <w:sz w:val="22"/>
          <w:szCs w:val="22"/>
          <w:lang w:eastAsia="it-IT"/>
        </w:rPr>
        <w:t>SALVI CONGRESS DI SALVI VINCENZO</w:t>
      </w:r>
      <w:r w:rsidR="00633BE0" w:rsidRPr="00633BE0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Pr="00633BE0">
        <w:rPr>
          <w:rFonts w:ascii="Arial" w:hAnsi="Arial" w:cs="Arial"/>
          <w:kern w:val="1"/>
          <w:sz w:val="22"/>
          <w:szCs w:val="22"/>
        </w:rPr>
        <w:t>per un importo complessivo pari a euro</w:t>
      </w:r>
      <w:r w:rsidR="00CB7518" w:rsidRPr="00633BE0">
        <w:rPr>
          <w:rFonts w:ascii="Arial" w:hAnsi="Arial" w:cs="Arial"/>
          <w:kern w:val="1"/>
          <w:sz w:val="22"/>
          <w:szCs w:val="22"/>
        </w:rPr>
        <w:t xml:space="preserve"> </w:t>
      </w:r>
      <w:r w:rsidR="00565AAB">
        <w:rPr>
          <w:rFonts w:ascii="Arial" w:hAnsi="Arial" w:cs="Arial"/>
          <w:kern w:val="1"/>
          <w:sz w:val="22"/>
          <w:szCs w:val="22"/>
        </w:rPr>
        <w:t>380,00</w:t>
      </w:r>
      <w:r w:rsidRPr="00633BE0">
        <w:rPr>
          <w:rFonts w:ascii="Arial" w:hAnsi="Arial" w:cs="Arial"/>
          <w:kern w:val="1"/>
          <w:sz w:val="22"/>
          <w:szCs w:val="22"/>
        </w:rPr>
        <w:t xml:space="preserve"> oltre IVA, se dovuta per legge.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Il presente provvedimento, in ossequio al principio di trasparenza e fatto salvo quanto previsto dall’art. 1, comma 32 della L. 190/2012 e dal </w:t>
      </w:r>
      <w:proofErr w:type="spellStart"/>
      <w:proofErr w:type="gramStart"/>
      <w:r w:rsidRPr="00633BE0">
        <w:rPr>
          <w:rFonts w:ascii="Arial" w:hAnsi="Arial" w:cs="Arial"/>
          <w:kern w:val="1"/>
          <w:sz w:val="22"/>
          <w:szCs w:val="22"/>
        </w:rPr>
        <w:t>D.Lgs</w:t>
      </w:r>
      <w:proofErr w:type="spellEnd"/>
      <w:proofErr w:type="gramEnd"/>
      <w:r w:rsidRPr="00633BE0">
        <w:rPr>
          <w:rFonts w:ascii="Arial" w:hAnsi="Arial" w:cs="Arial"/>
          <w:kern w:val="1"/>
          <w:sz w:val="22"/>
          <w:szCs w:val="22"/>
        </w:rPr>
        <w:t xml:space="preserve"> 33/2013, è pubblicato, ai sensi dell’art. 29 del </w:t>
      </w:r>
      <w:proofErr w:type="spellStart"/>
      <w:r w:rsidRPr="00633BE0">
        <w:rPr>
          <w:rFonts w:ascii="Arial" w:hAnsi="Arial" w:cs="Arial"/>
          <w:kern w:val="1"/>
          <w:sz w:val="22"/>
          <w:szCs w:val="22"/>
        </w:rPr>
        <w:t>D.Lgs</w:t>
      </w:r>
      <w:proofErr w:type="spellEnd"/>
      <w:r w:rsidRPr="00633BE0">
        <w:rPr>
          <w:rFonts w:ascii="Arial" w:hAnsi="Arial" w:cs="Arial"/>
          <w:kern w:val="1"/>
          <w:sz w:val="22"/>
          <w:szCs w:val="22"/>
        </w:rPr>
        <w:t xml:space="preserve"> 50/2016 sul sito web dell’Ateneo Federico II di Napoli ai fini della generale conoscenza.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  <w:t>Il Direttore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  <w:t xml:space="preserve">      Prof. Fabio Mangone</w:t>
      </w:r>
    </w:p>
    <w:p w:rsidR="008F1FF2" w:rsidRDefault="008F1FF2">
      <w:pPr>
        <w:jc w:val="right"/>
      </w:pPr>
    </w:p>
    <w:sectPr w:rsidR="008F1FF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2" w:bottom="851" w:left="1418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94E" w:rsidRDefault="00A4694E">
      <w:r>
        <w:separator/>
      </w:r>
    </w:p>
  </w:endnote>
  <w:endnote w:type="continuationSeparator" w:id="0">
    <w:p w:rsidR="00A4694E" w:rsidRDefault="00A4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3B75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8F1FF2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 w:rsidR="00181721">
      <w:rPr>
        <w:noProof/>
      </w:rPr>
      <w:t>2</w:t>
    </w:r>
    <w:r>
      <w:fldChar w:fldCharType="end"/>
    </w:r>
  </w:p>
  <w:p w:rsidR="003B7597" w:rsidRDefault="003B759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3B7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94E" w:rsidRDefault="00A4694E">
      <w:r>
        <w:separator/>
      </w:r>
    </w:p>
  </w:footnote>
  <w:footnote w:type="continuationSeparator" w:id="0">
    <w:p w:rsidR="00A4694E" w:rsidRDefault="00A46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3B759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3B75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00"/>
      <w:numFmt w:val="upperRoman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91E58"/>
    <w:rsid w:val="000D7250"/>
    <w:rsid w:val="000E4454"/>
    <w:rsid w:val="00181721"/>
    <w:rsid w:val="002C6712"/>
    <w:rsid w:val="002D4CD1"/>
    <w:rsid w:val="00391E58"/>
    <w:rsid w:val="003B7597"/>
    <w:rsid w:val="00471020"/>
    <w:rsid w:val="004A000D"/>
    <w:rsid w:val="004B6246"/>
    <w:rsid w:val="00510650"/>
    <w:rsid w:val="00565AAB"/>
    <w:rsid w:val="005C084D"/>
    <w:rsid w:val="00633BE0"/>
    <w:rsid w:val="00641892"/>
    <w:rsid w:val="0065305D"/>
    <w:rsid w:val="008B6824"/>
    <w:rsid w:val="008D37AE"/>
    <w:rsid w:val="008F1FF2"/>
    <w:rsid w:val="009401DF"/>
    <w:rsid w:val="00A4694E"/>
    <w:rsid w:val="00AC388C"/>
    <w:rsid w:val="00C32D57"/>
    <w:rsid w:val="00CB7518"/>
    <w:rsid w:val="00CD3909"/>
    <w:rsid w:val="00D17FCC"/>
    <w:rsid w:val="00D51F1D"/>
    <w:rsid w:val="00D8201C"/>
    <w:rsid w:val="00D85A78"/>
    <w:rsid w:val="00DE7CEA"/>
    <w:rsid w:val="00F3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093F4FE1"/>
  <w15:chartTrackingRefBased/>
  <w15:docId w15:val="{7EF083C2-3536-44C0-8C87-2363510F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 w:right="-142" w:firstLine="0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left="5670" w:right="142" w:firstLine="0"/>
      <w:jc w:val="both"/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Carpredefinitoparagrafo1">
    <w:name w:val="Car. predefinito paragrafo1"/>
  </w:style>
  <w:style w:type="character" w:customStyle="1" w:styleId="TestonormaleCarattere">
    <w:name w:val="Testo normale Carattere"/>
    <w:rPr>
      <w:rFonts w:ascii="Courier New" w:hAnsi="Courier New" w:cs="Courier New"/>
    </w:rPr>
  </w:style>
  <w:style w:type="character" w:customStyle="1" w:styleId="Corpodeltesto3Carattere">
    <w:name w:val="Corpo del testo 3 Carattere"/>
    <w:rPr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8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Corpodeltesto21">
    <w:name w:val="Corpo del testo 21"/>
    <w:basedOn w:val="Normal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1134" w:hanging="850"/>
      <w:jc w:val="both"/>
    </w:pPr>
    <w:rPr>
      <w:sz w:val="24"/>
    </w:rPr>
  </w:style>
  <w:style w:type="paragraph" w:customStyle="1" w:styleId="Testonormale1">
    <w:name w:val="Testo normale1"/>
    <w:basedOn w:val="Normale"/>
    <w:rPr>
      <w:rFonts w:ascii="Courier New" w:hAnsi="Courier New" w:cs="Courier New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pPr>
      <w:ind w:left="720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Norm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Normale</Template>
  <TotalTime>2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</dc:creator>
  <cp:keywords/>
  <cp:lastModifiedBy>Roberto Terisacco</cp:lastModifiedBy>
  <cp:revision>2</cp:revision>
  <cp:lastPrinted>2018-02-02T10:03:00Z</cp:lastPrinted>
  <dcterms:created xsi:type="dcterms:W3CDTF">2018-02-02T10:05:00Z</dcterms:created>
  <dcterms:modified xsi:type="dcterms:W3CDTF">2018-02-02T10:05:00Z</dcterms:modified>
</cp:coreProperties>
</file>