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AB7E46">
        <w:t>67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AB7E46">
        <w:t>20/06/2018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</w:t>
      </w:r>
      <w:r w:rsidR="00AB7E46">
        <w:t>N.7 CONFEZIONI DI VETRINI COPRIOGGETTO</w:t>
      </w:r>
    </w:p>
    <w:p w:rsidR="004C7CBD" w:rsidRDefault="00A62E82" w:rsidP="00ED0EC9">
      <w:r>
        <w:t>CIG:</w:t>
      </w:r>
      <w:r w:rsidR="005A1372">
        <w:t xml:space="preserve"> 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7E0D47" w:rsidRDefault="007E0D47" w:rsidP="007E0D47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12/06/2018</w:t>
      </w:r>
      <w:r w:rsidR="00800CC9">
        <w:t xml:space="preserve"> </w:t>
      </w:r>
      <w:r>
        <w:t>da</w:t>
      </w:r>
      <w:r w:rsidR="00800CC9">
        <w:t>l</w:t>
      </w:r>
      <w:r>
        <w:t>l</w:t>
      </w:r>
      <w:r w:rsidR="00800CC9">
        <w:t>a</w:t>
      </w:r>
      <w:r>
        <w:t xml:space="preserve"> Prof.ssa Tomaiuolo Giovanna, con la quale chiedeva di acquistare materiale da laboratorio, in particolare n.7 confezioni di vetrini </w:t>
      </w:r>
      <w:proofErr w:type="spellStart"/>
      <w:r>
        <w:t>coprioggetto</w:t>
      </w:r>
      <w:proofErr w:type="spellEnd"/>
      <w:r>
        <w:t xml:space="preserve">, per le esigenze relative alle attività di ricerca da condurre nell’ambito del Progetto </w:t>
      </w:r>
      <w:proofErr w:type="spellStart"/>
      <w:r>
        <w:t>MicroChoice</w:t>
      </w:r>
      <w:proofErr w:type="spellEnd"/>
      <w:r>
        <w:t xml:space="preserve">; </w:t>
      </w: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2E77DF" w:rsidRDefault="002E77DF" w:rsidP="00F80ABB">
      <w:pPr>
        <w:jc w:val="both"/>
        <w:rPr>
          <w:b/>
        </w:rPr>
      </w:pPr>
    </w:p>
    <w:p w:rsidR="009F0CE8" w:rsidRDefault="009F0CE8" w:rsidP="002E77DF">
      <w:pPr>
        <w:jc w:val="both"/>
        <w:rPr>
          <w:b/>
        </w:rPr>
      </w:pPr>
    </w:p>
    <w:p w:rsidR="009F0CE8" w:rsidRDefault="009F0CE8" w:rsidP="002E77DF">
      <w:pPr>
        <w:jc w:val="both"/>
        <w:rPr>
          <w:b/>
        </w:rPr>
      </w:pPr>
    </w:p>
    <w:p w:rsidR="002E77DF" w:rsidRDefault="002E77DF" w:rsidP="002E77DF">
      <w:pPr>
        <w:jc w:val="both"/>
      </w:pPr>
      <w:r w:rsidRPr="000D0412">
        <w:rPr>
          <w:b/>
        </w:rPr>
        <w:t>CONSIDERATO</w:t>
      </w:r>
      <w:r w:rsidRPr="000D0412">
        <w:t xml:space="preserve"> che alla data odierna i beni di cui in premessa non sono presenti in nessuna tra le convenzioni attive della Concessionaria Servizi Informativi Pubblici per la Pubblica Amministrazione (CONSIP);</w:t>
      </w:r>
      <w:r>
        <w:t xml:space="preserve"> </w:t>
      </w:r>
    </w:p>
    <w:p w:rsidR="009B65FB" w:rsidRDefault="009B65FB" w:rsidP="002E77DF">
      <w:pPr>
        <w:jc w:val="both"/>
      </w:pPr>
    </w:p>
    <w:p w:rsidR="0070658F" w:rsidRPr="0070658F" w:rsidRDefault="0070658F" w:rsidP="0070658F">
      <w:pPr>
        <w:jc w:val="both"/>
      </w:pPr>
      <w:r w:rsidRPr="0070658F">
        <w:rPr>
          <w:b/>
        </w:rPr>
        <w:t>CONSIDERATO</w:t>
      </w:r>
      <w:r w:rsidRPr="0070658F">
        <w:t xml:space="preserve"> che il materiale in oggetto non è disponibile sul MEPA tra le offerte presentate nell’ambito del pertinente Bando MEPA e che, tuttavia, a seguito di indagine informale</w:t>
      </w:r>
      <w:r>
        <w:t xml:space="preserve"> di mercato sono state individuate alcune</w:t>
      </w:r>
      <w:r w:rsidRPr="0070658F">
        <w:t xml:space="preserve"> ditte in grado di fornire i prodotti in oggetto;</w:t>
      </w:r>
    </w:p>
    <w:p w:rsidR="0070658F" w:rsidRDefault="0070658F" w:rsidP="000528BD">
      <w:pPr>
        <w:jc w:val="both"/>
        <w:rPr>
          <w:b/>
        </w:rPr>
      </w:pPr>
    </w:p>
    <w:p w:rsidR="000528BD" w:rsidRDefault="000528BD" w:rsidP="000528BD">
      <w:pPr>
        <w:jc w:val="both"/>
      </w:pPr>
      <w:r w:rsidRPr="00CC004A">
        <w:rPr>
          <w:b/>
        </w:rPr>
        <w:t xml:space="preserve">PRESO ATTO </w:t>
      </w:r>
      <w:r w:rsidRPr="00A166AF">
        <w:t xml:space="preserve">che da una ricerca effettuata nei cataloghi del </w:t>
      </w:r>
      <w:proofErr w:type="spellStart"/>
      <w:r w:rsidRPr="00A166AF">
        <w:t>MePA</w:t>
      </w:r>
      <w:proofErr w:type="spellEnd"/>
      <w:r w:rsidRPr="00A166AF">
        <w:t xml:space="preserve"> risultata essere attiva l’iniziativa “Beni/Ricerca, rilevazione scientifi</w:t>
      </w:r>
      <w:r>
        <w:t>ca e diagnostica</w:t>
      </w:r>
      <w:r w:rsidRPr="00A166AF">
        <w:t>”</w:t>
      </w:r>
      <w:r>
        <w:t xml:space="preserve"> </w:t>
      </w:r>
      <w:r w:rsidRPr="0038373C">
        <w:t xml:space="preserve">e che per l'acquisto dei beni in argomento </w:t>
      </w:r>
      <w:r>
        <w:t>è possibile invitare</w:t>
      </w:r>
      <w:r w:rsidR="0070658F">
        <w:t xml:space="preserve"> a presentare la propria offerta mediante </w:t>
      </w:r>
      <w:r>
        <w:t>t</w:t>
      </w:r>
      <w:r w:rsidRPr="0038373C">
        <w:t>rattativa diretta</w:t>
      </w:r>
      <w:r w:rsidR="009F0CE8">
        <w:t>,</w:t>
      </w:r>
      <w:r w:rsidRPr="0038373C">
        <w:t xml:space="preserve"> </w:t>
      </w:r>
      <w:r>
        <w:t>le</w:t>
      </w:r>
      <w:r w:rsidRPr="0038373C">
        <w:t xml:space="preserve"> Imprese</w:t>
      </w:r>
      <w:r w:rsidR="0070658F">
        <w:t xml:space="preserve"> registrate a detta iniziativa;</w:t>
      </w:r>
    </w:p>
    <w:p w:rsidR="001651AF" w:rsidRDefault="001651AF" w:rsidP="000528BD">
      <w:pPr>
        <w:jc w:val="both"/>
      </w:pPr>
    </w:p>
    <w:p w:rsidR="001651AF" w:rsidRDefault="001651AF" w:rsidP="001651AF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1651AF" w:rsidRDefault="001651AF" w:rsidP="000528BD">
      <w:pPr>
        <w:jc w:val="both"/>
      </w:pPr>
    </w:p>
    <w:p w:rsidR="00BA4E14" w:rsidRDefault="0070658F" w:rsidP="00BA4E14">
      <w:pPr>
        <w:jc w:val="both"/>
      </w:pPr>
      <w:r>
        <w:rPr>
          <w:b/>
        </w:rPr>
        <w:t xml:space="preserve">CONSIDERATO </w:t>
      </w:r>
      <w:r w:rsidRPr="0070658F">
        <w:t>che</w:t>
      </w:r>
      <w:r w:rsidR="00BA4E14">
        <w:t xml:space="preserve"> sono state avviate sul MEPA n.3 </w:t>
      </w:r>
      <w:r w:rsidR="000528BD">
        <w:t>Trattative Dirette: Societ</w:t>
      </w:r>
      <w:r w:rsidR="00BA4E14">
        <w:t xml:space="preserve">à Italiana Chimici Divisione Scientifica srl UNIP (T.D. n.526266), VWR International srl (T.D. n. 526272) e Fischer </w:t>
      </w:r>
      <w:proofErr w:type="spellStart"/>
      <w:r w:rsidR="00BA4E14">
        <w:t>Scientific</w:t>
      </w:r>
      <w:proofErr w:type="spellEnd"/>
      <w:r w:rsidR="00BA4E14">
        <w:t xml:space="preserve"> sas (T.D. n. 524675);</w:t>
      </w:r>
    </w:p>
    <w:p w:rsidR="00BA4E14" w:rsidRDefault="00BA4E14" w:rsidP="00BA4E14">
      <w:pPr>
        <w:autoSpaceDE w:val="0"/>
        <w:autoSpaceDN w:val="0"/>
        <w:adjustRightInd w:val="0"/>
        <w:rPr>
          <w:b/>
        </w:rPr>
      </w:pPr>
    </w:p>
    <w:p w:rsidR="00092A83" w:rsidRPr="009D2202" w:rsidRDefault="00092A83" w:rsidP="00092A83">
      <w:pPr>
        <w:jc w:val="both"/>
      </w:pPr>
      <w:r w:rsidRPr="009D2202">
        <w:rPr>
          <w:b/>
        </w:rPr>
        <w:t>CONSIDERATO</w:t>
      </w:r>
      <w:r w:rsidRPr="009D2202">
        <w:t xml:space="preserve"> che il termine di presentazione dei preventivi è stato fissato per il giorno </w:t>
      </w:r>
      <w:r>
        <w:t>18/06/2018</w:t>
      </w:r>
      <w:r w:rsidRPr="009D2202">
        <w:t xml:space="preserve">;  </w:t>
      </w:r>
    </w:p>
    <w:p w:rsidR="00092A83" w:rsidRPr="009D2202" w:rsidRDefault="00092A83" w:rsidP="00092A83">
      <w:pPr>
        <w:jc w:val="both"/>
      </w:pPr>
    </w:p>
    <w:p w:rsidR="00092A83" w:rsidRPr="009D2202" w:rsidRDefault="00092A83" w:rsidP="00092A83">
      <w:pPr>
        <w:jc w:val="both"/>
      </w:pPr>
      <w:r w:rsidRPr="009D2202">
        <w:rPr>
          <w:b/>
        </w:rPr>
        <w:t>TENUTO</w:t>
      </w:r>
      <w:r w:rsidRPr="009D2202">
        <w:t xml:space="preserve"> conto che </w:t>
      </w:r>
      <w:r>
        <w:t>le Trattative Dirette n.526272 e n.524675 sono andate deserte;</w:t>
      </w:r>
      <w:r w:rsidRPr="009D2202">
        <w:t xml:space="preserve"> </w:t>
      </w:r>
    </w:p>
    <w:p w:rsidR="00092A83" w:rsidRPr="009D2202" w:rsidRDefault="00092A83" w:rsidP="00092A83">
      <w:pPr>
        <w:jc w:val="both"/>
      </w:pPr>
    </w:p>
    <w:p w:rsidR="00092A83" w:rsidRPr="009D2202" w:rsidRDefault="00092A83" w:rsidP="00092A83">
      <w:pPr>
        <w:jc w:val="both"/>
      </w:pPr>
      <w:r w:rsidRPr="009D2202">
        <w:rPr>
          <w:b/>
        </w:rPr>
        <w:t>CONSIDERATO</w:t>
      </w:r>
      <w:r w:rsidRPr="009D2202">
        <w:t xml:space="preserve"> che in risposta alla Trattativa Diretta n.</w:t>
      </w:r>
      <w:r>
        <w:t>526266</w:t>
      </w:r>
      <w:r w:rsidRPr="009D2202">
        <w:t xml:space="preserve"> del </w:t>
      </w:r>
      <w:r>
        <w:t>18/06/2018</w:t>
      </w:r>
      <w:r w:rsidRPr="009D2202">
        <w:t>, l</w:t>
      </w:r>
      <w:r>
        <w:t xml:space="preserve">’offerta presentata dalla Società Italiana Chimici Divisione </w:t>
      </w:r>
      <w:r w:rsidR="0083134F">
        <w:t>Scientifica srl UNIP</w:t>
      </w:r>
      <w:r w:rsidRPr="009D2202">
        <w:t xml:space="preserve"> ammonta </w:t>
      </w:r>
      <w:proofErr w:type="gramStart"/>
      <w:r w:rsidRPr="009D2202">
        <w:t>ad  €</w:t>
      </w:r>
      <w:proofErr w:type="gramEnd"/>
      <w:r w:rsidRPr="009D2202">
        <w:t xml:space="preserve"> </w:t>
      </w:r>
      <w:r>
        <w:t>289,40</w:t>
      </w:r>
      <w:r w:rsidRPr="009D2202">
        <w:t xml:space="preserve"> oltre iva come per legge;</w:t>
      </w:r>
    </w:p>
    <w:p w:rsidR="00092A83" w:rsidRPr="009D2202" w:rsidRDefault="00092A83" w:rsidP="00092A83">
      <w:pPr>
        <w:jc w:val="both"/>
      </w:pPr>
    </w:p>
    <w:p w:rsidR="009B65FB" w:rsidRDefault="00092A83" w:rsidP="002E77DF">
      <w:pPr>
        <w:jc w:val="both"/>
      </w:pPr>
      <w:r w:rsidRPr="009D2202">
        <w:rPr>
          <w:b/>
        </w:rPr>
        <w:t>RITENUTA</w:t>
      </w:r>
      <w:r w:rsidRPr="009D2202">
        <w:t xml:space="preserve"> congrua l’offerta economica;</w:t>
      </w:r>
    </w:p>
    <w:p w:rsidR="00D5439B" w:rsidRDefault="00D5439B" w:rsidP="002E77DF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8B78DE">
        <w:t xml:space="preserve"> SOCIETA’ ITALIANA CHIMICI </w:t>
      </w:r>
      <w:r w:rsidR="008B78DE">
        <w:lastRenderedPageBreak/>
        <w:t>DIVISIONE SCIENTIFICA SRL UNIP</w:t>
      </w:r>
      <w:r w:rsidR="00796C7E">
        <w:t xml:space="preserve"> – P.IVA </w:t>
      </w:r>
      <w:r w:rsidR="008B78DE">
        <w:t>0091</w:t>
      </w:r>
      <w:bookmarkStart w:id="0" w:name="_GoBack"/>
      <w:bookmarkEnd w:id="0"/>
      <w:r w:rsidR="008B78DE">
        <w:t>4480587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8B78DE">
        <w:t>289,40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proofErr w:type="spellStart"/>
      <w:proofErr w:type="gramStart"/>
      <w:r w:rsidR="004D7723">
        <w:t>M</w:t>
      </w:r>
      <w:r w:rsidR="00082E2A">
        <w:t>icroChoice</w:t>
      </w:r>
      <w:proofErr w:type="spellEnd"/>
      <w:r w:rsidR="008B78DE">
        <w:t xml:space="preserve"> </w:t>
      </w:r>
      <w:r w:rsidR="006C1267">
        <w:t>”</w:t>
      </w:r>
      <w:proofErr w:type="gramEnd"/>
      <w:r w:rsidR="00C07882">
        <w:t xml:space="preserve">, </w:t>
      </w:r>
      <w:r w:rsidR="009C1FAD">
        <w:t>Responsabile Prof.</w:t>
      </w:r>
      <w:r w:rsidR="004D7723">
        <w:t>ssa Tomaiuolo Giovanna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4D7723">
        <w:t>289,40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528BD"/>
    <w:rsid w:val="00065D75"/>
    <w:rsid w:val="00066EC3"/>
    <w:rsid w:val="000721AE"/>
    <w:rsid w:val="00082D7C"/>
    <w:rsid w:val="00082E2A"/>
    <w:rsid w:val="000843BB"/>
    <w:rsid w:val="00086BCB"/>
    <w:rsid w:val="00090281"/>
    <w:rsid w:val="00092A83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651AF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1F7961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2E77DF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D7723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0658F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0D47"/>
    <w:rsid w:val="007E12AF"/>
    <w:rsid w:val="007E5B58"/>
    <w:rsid w:val="007F588A"/>
    <w:rsid w:val="007F5F73"/>
    <w:rsid w:val="00800CC9"/>
    <w:rsid w:val="0080264B"/>
    <w:rsid w:val="00817CE8"/>
    <w:rsid w:val="0083084F"/>
    <w:rsid w:val="008313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A6B71"/>
    <w:rsid w:val="008B78DE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65FB"/>
    <w:rsid w:val="009B77A5"/>
    <w:rsid w:val="009C1FAD"/>
    <w:rsid w:val="009E00DE"/>
    <w:rsid w:val="009E4437"/>
    <w:rsid w:val="009E694E"/>
    <w:rsid w:val="009E6A81"/>
    <w:rsid w:val="009F0CE8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B7E4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A4E14"/>
    <w:rsid w:val="00BC3E98"/>
    <w:rsid w:val="00BD53C0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439B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77166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D7FAB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7466F9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115</cp:revision>
  <cp:lastPrinted>2018-06-29T08:57:00Z</cp:lastPrinted>
  <dcterms:created xsi:type="dcterms:W3CDTF">2017-02-27T10:19:00Z</dcterms:created>
  <dcterms:modified xsi:type="dcterms:W3CDTF">2018-06-29T08:58:00Z</dcterms:modified>
</cp:coreProperties>
</file>