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272563">
        <w:t>30</w:t>
      </w:r>
      <w:r w:rsidR="00ED0EC9">
        <w:t>/T</w:t>
      </w:r>
      <w:r w:rsidR="00ED0EC9" w:rsidRPr="008827AE">
        <w:t>.</w:t>
      </w:r>
      <w:r w:rsidR="00ED0EC9">
        <w:t>M.</w:t>
      </w:r>
      <w:r w:rsidR="00ED0EC9" w:rsidRPr="008827AE">
        <w:t xml:space="preserve">    </w:t>
      </w:r>
      <w:r w:rsidR="005A1372">
        <w:t xml:space="preserve">DEL </w:t>
      </w:r>
      <w:r w:rsidR="00272563">
        <w:t>21/03/2018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082D7C">
        <w:t xml:space="preserve">ACQUISTO DI N.1 NOTEBOOK - N.1 KIT TASTIERA+MOUSE - </w:t>
      </w:r>
      <w:r w:rsidR="00272563">
        <w:t>N.1</w:t>
      </w:r>
      <w:r w:rsidR="00082D7C">
        <w:t>HD ESTERNO</w:t>
      </w:r>
    </w:p>
    <w:p w:rsidR="004C7CBD" w:rsidRDefault="00A62E82" w:rsidP="00ED0EC9">
      <w:r>
        <w:t>CIG:</w:t>
      </w:r>
      <w:r w:rsidR="005A1372">
        <w:t xml:space="preserve"> </w:t>
      </w:r>
      <w:r w:rsidR="00082D7C">
        <w:t>ZA622DC53A</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F66E9D" w:rsidRDefault="00F66E9D" w:rsidP="00F66E9D">
      <w:pPr>
        <w:jc w:val="both"/>
      </w:pPr>
      <w:r w:rsidRPr="00F66E9D">
        <w:rPr>
          <w:b/>
        </w:rPr>
        <w:t>VISTA</w:t>
      </w:r>
      <w:r w:rsidRPr="00F66E9D">
        <w:t xml:space="preserve"> la richiesta del 14/03/2018 con la quale il Prof. Murena Fabio chiede l’acquisto di n. 1 Notebook, n.1 HD Esterno, n.1 kit Tastiera e Mouse; </w:t>
      </w:r>
    </w:p>
    <w:p w:rsidR="00F66E9D" w:rsidRDefault="00F66E9D" w:rsidP="00F66E9D">
      <w:pPr>
        <w:jc w:val="both"/>
      </w:pPr>
    </w:p>
    <w:p w:rsidR="00174CF6" w:rsidRDefault="00413606" w:rsidP="00F66E9D">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 xml:space="preserve">provvedono ai propri </w:t>
      </w:r>
    </w:p>
    <w:p w:rsidR="00174CF6" w:rsidRDefault="00174CF6" w:rsidP="00F66E9D">
      <w:pPr>
        <w:jc w:val="both"/>
        <w:rPr>
          <w:i/>
        </w:rPr>
      </w:pPr>
    </w:p>
    <w:p w:rsidR="00F66E9D" w:rsidRDefault="00413606" w:rsidP="00F66E9D">
      <w:pPr>
        <w:jc w:val="both"/>
      </w:pPr>
      <w:r w:rsidRPr="00413606">
        <w:rPr>
          <w:i/>
        </w:rPr>
        <w:t>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413606" w:rsidRDefault="00413606" w:rsidP="00F66E9D">
      <w:pPr>
        <w:jc w:val="both"/>
      </w:pPr>
    </w:p>
    <w:p w:rsidR="00413606" w:rsidRPr="00C334C9" w:rsidRDefault="00413606" w:rsidP="00F66E9D">
      <w:pPr>
        <w:jc w:val="both"/>
      </w:pPr>
      <w:r w:rsidRPr="00C334C9">
        <w:rPr>
          <w:b/>
        </w:rPr>
        <w:t>CONSIDERATO</w:t>
      </w:r>
      <w:r w:rsidRPr="00C334C9">
        <w:t xml:space="preserve"> che, tra gli strumenti di negoziazione di </w:t>
      </w:r>
      <w:proofErr w:type="spellStart"/>
      <w:r w:rsidRPr="00C334C9">
        <w:t>Consip</w:t>
      </w:r>
      <w:proofErr w:type="spellEnd"/>
      <w:r w:rsidRPr="00C334C9">
        <w:t xml:space="preserve"> </w:t>
      </w:r>
      <w:proofErr w:type="spellStart"/>
      <w:r w:rsidRPr="00C334C9">
        <w:t>SpA</w:t>
      </w:r>
      <w:proofErr w:type="spellEnd"/>
      <w:r w:rsidRPr="00C334C9">
        <w:t>, è incluso il Mercato elettronico della Pubblica Amministrazione (MEPA);</w:t>
      </w:r>
    </w:p>
    <w:p w:rsidR="00413606" w:rsidRPr="00C334C9" w:rsidRDefault="00413606" w:rsidP="00F66E9D">
      <w:pPr>
        <w:jc w:val="both"/>
      </w:pPr>
    </w:p>
    <w:p w:rsidR="00413606" w:rsidRPr="00C334C9" w:rsidRDefault="00413606" w:rsidP="00F66E9D">
      <w:pPr>
        <w:jc w:val="both"/>
      </w:pPr>
      <w:r w:rsidRPr="00C334C9">
        <w:rPr>
          <w:b/>
        </w:rPr>
        <w:t>VERIFICATO</w:t>
      </w:r>
      <w:r w:rsidRPr="00C334C9">
        <w:t xml:space="preserve"> che</w:t>
      </w:r>
      <w:r w:rsidR="00E9261A" w:rsidRPr="00C334C9">
        <w:t>, alla data odierna,</w:t>
      </w:r>
      <w:r w:rsidRPr="00C334C9">
        <w:t xml:space="preserve"> per i beni richiesti non è attiva nessuna convenzione CONSIP;</w:t>
      </w:r>
    </w:p>
    <w:p w:rsidR="00F66E9D" w:rsidRPr="00C334C9" w:rsidRDefault="00F66E9D" w:rsidP="00C334C9">
      <w:pPr>
        <w:jc w:val="both"/>
      </w:pPr>
    </w:p>
    <w:p w:rsidR="00E9261A" w:rsidRPr="00C334C9" w:rsidRDefault="00E9261A" w:rsidP="00C334C9">
      <w:pPr>
        <w:jc w:val="both"/>
      </w:pPr>
      <w:r w:rsidRPr="00C334C9">
        <w:rPr>
          <w:b/>
        </w:rPr>
        <w:t>CONSIDERATO</w:t>
      </w:r>
      <w:r w:rsidRPr="00C334C9">
        <w:t xml:space="preserve"> invece che detto materiale è disponibile sul Mercato Elettronico </w:t>
      </w:r>
      <w:proofErr w:type="spellStart"/>
      <w:r w:rsidRPr="00C334C9">
        <w:t>dell</w:t>
      </w:r>
      <w:proofErr w:type="spellEnd"/>
      <w:r w:rsidRPr="00C334C9">
        <w:t xml:space="preserve"> P.A.;</w:t>
      </w:r>
    </w:p>
    <w:p w:rsidR="00E9261A" w:rsidRPr="00C334C9" w:rsidRDefault="00E9261A" w:rsidP="00C334C9">
      <w:pPr>
        <w:jc w:val="both"/>
      </w:pPr>
    </w:p>
    <w:p w:rsidR="00E9261A" w:rsidRDefault="00E9261A" w:rsidP="00C334C9">
      <w:pPr>
        <w:jc w:val="both"/>
      </w:pPr>
      <w:r w:rsidRPr="00C334C9">
        <w:rPr>
          <w:b/>
        </w:rPr>
        <w:t>RITENUTO</w:t>
      </w:r>
      <w:r w:rsidRPr="00C334C9">
        <w:t xml:space="preserve"> pertanto di procedere tramite Ordine Diretto (ODA) sul MEPA e avendo individuato come fornitore la ditta SOLUZIONE UFFICIO srl che, per l’attrezzatura indicata, offre un prezzo pari a € 682,39 oltre iva come per legge;</w:t>
      </w:r>
    </w:p>
    <w:p w:rsidR="003229BE" w:rsidRDefault="003229BE" w:rsidP="00C334C9">
      <w:pPr>
        <w:jc w:val="both"/>
      </w:pPr>
    </w:p>
    <w:p w:rsidR="00AE1D77" w:rsidRDefault="00AE1D77" w:rsidP="00AE1D77">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w:t>
      </w:r>
      <w:proofErr w:type="spellStart"/>
      <w:r>
        <w:rPr>
          <w:rStyle w:val="st"/>
        </w:rPr>
        <w:t>Lgs</w:t>
      </w:r>
      <w:proofErr w:type="spellEnd"/>
      <w:r>
        <w:rPr>
          <w:rStyle w:val="st"/>
        </w:rPr>
        <w:t>. 50/2016, trattandosi di forniture con caratteristiche standardizzate;</w:t>
      </w:r>
    </w:p>
    <w:p w:rsidR="003229BE" w:rsidRDefault="003229BE" w:rsidP="00C334C9">
      <w:pPr>
        <w:jc w:val="both"/>
      </w:pPr>
    </w:p>
    <w:p w:rsidR="00E9261A" w:rsidRPr="00C334C9" w:rsidRDefault="00E9261A" w:rsidP="00C334C9">
      <w:pPr>
        <w:jc w:val="both"/>
      </w:pPr>
      <w:r w:rsidRPr="00C334C9">
        <w:rPr>
          <w:b/>
        </w:rPr>
        <w:t>VISTO</w:t>
      </w:r>
      <w:r w:rsidRPr="00C334C9">
        <w:t xml:space="preserve"> altresì il piano triennale per l’informatica della Pubblica Amministrazione 2017-2019 pubblicato dall’AGID; </w:t>
      </w:r>
    </w:p>
    <w:p w:rsidR="00E9261A" w:rsidRPr="00C334C9" w:rsidRDefault="00E9261A" w:rsidP="00C334C9">
      <w:pPr>
        <w:jc w:val="both"/>
      </w:pPr>
    </w:p>
    <w:p w:rsidR="00E9261A" w:rsidRDefault="00E9261A" w:rsidP="00C334C9">
      <w:pPr>
        <w:jc w:val="both"/>
      </w:pPr>
      <w:r w:rsidRPr="00C334C9">
        <w:rPr>
          <w:b/>
        </w:rPr>
        <w:t>VISTA</w:t>
      </w:r>
      <w:r w:rsidRPr="00C334C9">
        <w:t xml:space="preserve"> la circolare n.2 dell’AGID del 24 giugno 2016;</w:t>
      </w:r>
    </w:p>
    <w:p w:rsidR="00174CF6" w:rsidRDefault="00174CF6" w:rsidP="00C334C9">
      <w:pPr>
        <w:jc w:val="both"/>
      </w:pPr>
    </w:p>
    <w:p w:rsidR="005A40D1" w:rsidRPr="00C334C9" w:rsidRDefault="008463C9" w:rsidP="00C334C9">
      <w:pPr>
        <w:autoSpaceDE w:val="0"/>
        <w:autoSpaceDN w:val="0"/>
        <w:adjustRightInd w:val="0"/>
        <w:rPr>
          <w:rFonts w:eastAsiaTheme="minorHAnsi"/>
          <w:sz w:val="22"/>
          <w:szCs w:val="22"/>
          <w:lang w:eastAsia="en-US"/>
        </w:rPr>
      </w:pPr>
      <w:bookmarkStart w:id="0" w:name="_GoBack"/>
      <w:bookmarkEnd w:id="0"/>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7E12AF">
        <w:t>SOLUZIONE UFFICIO SRL</w:t>
      </w:r>
      <w:r w:rsidR="00796C7E">
        <w:t xml:space="preserve"> – P.IVA </w:t>
      </w:r>
      <w:r w:rsidR="007E12AF">
        <w:t>02778750246</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7E12AF">
        <w:t>682,39</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7E12AF">
        <w:t>IMACOMAT</w:t>
      </w:r>
      <w:r w:rsidR="006C1267">
        <w:t>”</w:t>
      </w:r>
      <w:r w:rsidR="00C07882">
        <w:t xml:space="preserve">, </w:t>
      </w:r>
      <w:r w:rsidR="009C1FAD">
        <w:t>Responsabile Prof.</w:t>
      </w:r>
      <w:r w:rsidR="007E12AF">
        <w:t xml:space="preserve"> Murena Fabio</w:t>
      </w:r>
      <w:r w:rsidR="00743556">
        <w:t>,</w:t>
      </w:r>
      <w:r w:rsidR="003355AF">
        <w:t xml:space="preserve"> </w:t>
      </w:r>
      <w:r w:rsidR="009C1FAD">
        <w:t xml:space="preserve">la spesa di € </w:t>
      </w:r>
      <w:r w:rsidR="007E12AF">
        <w:t>682,39</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lastRenderedPageBreak/>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86F812"/>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1524</TotalTime>
  <Pages>3</Pages>
  <Words>759</Words>
  <Characters>4330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91</cp:revision>
  <cp:lastPrinted>2017-11-09T11:26:00Z</cp:lastPrinted>
  <dcterms:created xsi:type="dcterms:W3CDTF">2017-02-27T10:19:00Z</dcterms:created>
  <dcterms:modified xsi:type="dcterms:W3CDTF">2018-03-27T15:10:00Z</dcterms:modified>
</cp:coreProperties>
</file>