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E" w:rsidRPr="000103FE" w:rsidRDefault="00EE79E6" w:rsidP="000103FE">
      <w:pPr>
        <w:tabs>
          <w:tab w:val="left" w:pos="567"/>
        </w:tabs>
        <w:spacing w:line="360" w:lineRule="auto"/>
        <w:ind w:left="284" w:right="-11" w:firstLine="283"/>
        <w:jc w:val="right"/>
        <w:rPr>
          <w:b/>
          <w:bCs/>
          <w:sz w:val="22"/>
          <w:szCs w:val="22"/>
        </w:rPr>
      </w:pPr>
      <w:proofErr w:type="spellStart"/>
      <w:r>
        <w:rPr>
          <w:b/>
          <w:bCs/>
          <w:sz w:val="22"/>
          <w:szCs w:val="22"/>
        </w:rPr>
        <w:t>ic</w:t>
      </w:r>
      <w:r w:rsidR="00081C77">
        <w:rPr>
          <w:b/>
          <w:bCs/>
          <w:sz w:val="22"/>
          <w:szCs w:val="22"/>
        </w:rPr>
        <w:t>Allegato</w:t>
      </w:r>
      <w:proofErr w:type="spellEnd"/>
      <w:r w:rsidR="00081C77">
        <w:rPr>
          <w:b/>
          <w:bCs/>
          <w:sz w:val="22"/>
          <w:szCs w:val="22"/>
        </w:rPr>
        <w:t xml:space="preserve"> B</w:t>
      </w:r>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n. REA________________ iscritta all’Albo Nazionale Gestori Ambientali al n.________________________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r w:rsidR="004F3ED3" w:rsidRPr="004F3ED3"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6C44C5" w:rsidRPr="00F64DD4">
        <w:rPr>
          <w:b/>
          <w:sz w:val="22"/>
          <w:szCs w:val="22"/>
        </w:rPr>
        <w:t>elencate nell’art. 80</w:t>
      </w:r>
      <w:r w:rsidR="001C6301" w:rsidRPr="00F64DD4">
        <w:rPr>
          <w:b/>
          <w:sz w:val="22"/>
          <w:szCs w:val="22"/>
        </w:rPr>
        <w:t xml:space="preserve"> del </w:t>
      </w:r>
      <w:proofErr w:type="spellStart"/>
      <w:r w:rsidR="006C44C5" w:rsidRPr="00F64DD4">
        <w:rPr>
          <w:b/>
          <w:sz w:val="22"/>
          <w:szCs w:val="22"/>
        </w:rPr>
        <w:t>D.Lgs.</w:t>
      </w:r>
      <w:proofErr w:type="spellEnd"/>
      <w:r w:rsidR="006C44C5" w:rsidRPr="00F64DD4">
        <w:rPr>
          <w:b/>
          <w:sz w:val="22"/>
          <w:szCs w:val="22"/>
        </w:rPr>
        <w:t xml:space="preserve">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1"/>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w:t>
      </w:r>
      <w:proofErr w:type="spellStart"/>
      <w:r w:rsidRPr="00F64DD4">
        <w:rPr>
          <w:sz w:val="22"/>
          <w:szCs w:val="22"/>
        </w:rPr>
        <w:t>D.Lgs.</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sidRPr="00F64DD4">
        <w:rPr>
          <w:sz w:val="22"/>
          <w:szCs w:val="22"/>
        </w:rPr>
        <w:t>D.Lgs.</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2"/>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situazione di conflitto di interesse ai sensi dell’articolo 42, comma 2 del </w:t>
      </w:r>
      <w:proofErr w:type="spellStart"/>
      <w:r w:rsidRPr="00F64DD4">
        <w:rPr>
          <w:sz w:val="22"/>
          <w:szCs w:val="22"/>
        </w:rPr>
        <w:t>D.Lgs.</w:t>
      </w:r>
      <w:proofErr w:type="spellEnd"/>
      <w:r w:rsidRPr="00F64DD4">
        <w:rPr>
          <w:sz w:val="22"/>
          <w:szCs w:val="22"/>
        </w:rPr>
        <w:t xml:space="preserve">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all’articolo67</w:t>
      </w:r>
      <w:r w:rsidR="00D67F24" w:rsidRPr="00F64DD4">
        <w:rPr>
          <w:sz w:val="22"/>
          <w:szCs w:val="22"/>
        </w:rPr>
        <w:t xml:space="preserve"> del </w:t>
      </w:r>
      <w:proofErr w:type="spellStart"/>
      <w:r w:rsidR="00D67F24" w:rsidRPr="00F64DD4">
        <w:rPr>
          <w:sz w:val="22"/>
          <w:szCs w:val="22"/>
        </w:rPr>
        <w:t>D.Lgs.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8E4E38" w:rsidP="00E35144">
      <w:pPr>
        <w:pStyle w:val="NormaleWeb"/>
        <w:tabs>
          <w:tab w:val="left" w:pos="426"/>
        </w:tabs>
        <w:spacing w:before="0" w:beforeAutospacing="0" w:after="0" w:afterAutospacing="0"/>
        <w:ind w:left="360"/>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è in regola con le norme che disciplinano il diritto al lavoro dei disabili poiché ha ottemperato alle disposizioni contenute nella Legge 68/99 o __________________(indicare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_____________________(Stato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lastRenderedPageBreak/>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 xml:space="preserve">chel’operatore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3ED3" w:rsidRPr="004F3ED3" w:rsidRDefault="004F3ED3" w:rsidP="004F3ED3">
      <w:pPr>
        <w:jc w:val="both"/>
        <w:rPr>
          <w:b/>
          <w:sz w:val="22"/>
          <w:szCs w:val="22"/>
          <w:lang w:eastAsia="ar-SA"/>
        </w:rPr>
      </w:pPr>
    </w:p>
    <w:p w:rsidR="004F3ED3" w:rsidRPr="004F3ED3" w:rsidRDefault="004F3ED3" w:rsidP="004F3ED3">
      <w:pPr>
        <w:jc w:val="both"/>
        <w:rPr>
          <w:b/>
          <w:sz w:val="22"/>
          <w:szCs w:val="22"/>
          <w:lang w:eastAsia="ar-SA"/>
        </w:rPr>
      </w:pPr>
    </w:p>
    <w:p w:rsidR="004F3ED3" w:rsidRPr="00F64DD4" w:rsidRDefault="00D62814" w:rsidP="004F3ED3">
      <w:pPr>
        <w:jc w:val="both"/>
        <w:rPr>
          <w:sz w:val="22"/>
          <w:szCs w:val="22"/>
          <w:lang w:eastAsia="ar-SA"/>
        </w:rPr>
      </w:pPr>
      <w:r>
        <w:rPr>
          <w:b/>
          <w:sz w:val="22"/>
          <w:szCs w:val="22"/>
          <w:lang w:eastAsia="ar-SA"/>
        </w:rPr>
        <w:t>C</w:t>
      </w:r>
      <w:r w:rsidR="004F3ED3" w:rsidRPr="004F3ED3">
        <w:rPr>
          <w:b/>
          <w:sz w:val="22"/>
          <w:szCs w:val="22"/>
          <w:lang w:eastAsia="ar-SA"/>
        </w:rPr>
        <w:t>) di impegnarsi ad ottemperare gli obblighi di tracciabilità dei flussi finanziari di cui alla L. 136/2010</w:t>
      </w:r>
      <w:r w:rsidR="004F3ED3" w:rsidRPr="004F3ED3">
        <w:rPr>
          <w:sz w:val="22"/>
          <w:szCs w:val="22"/>
          <w:lang w:eastAsia="ar-SA"/>
        </w:rPr>
        <w:t>. In particolare dichiara:</w:t>
      </w:r>
      <w:r w:rsidR="004F3ED3"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4F3ED3" w:rsidRDefault="00D62814" w:rsidP="004F3ED3">
      <w:pPr>
        <w:suppressAutoHyphens/>
        <w:jc w:val="both"/>
        <w:rPr>
          <w:sz w:val="22"/>
          <w:szCs w:val="22"/>
          <w:lang w:eastAsia="ar-SA"/>
        </w:rPr>
      </w:pPr>
      <w:r>
        <w:rPr>
          <w:b/>
          <w:sz w:val="22"/>
          <w:szCs w:val="22"/>
          <w:lang w:eastAsia="ar-SA"/>
        </w:rPr>
        <w:t>D</w:t>
      </w:r>
      <w:r w:rsidR="004F3ED3" w:rsidRPr="004F3ED3">
        <w:rPr>
          <w:b/>
          <w:sz w:val="22"/>
          <w:szCs w:val="22"/>
          <w:lang w:eastAsia="ar-SA"/>
        </w:rPr>
        <w:t>) che la ditta, in caso di aggiudicazione, si rende pienamente disponibile ad iniziare il servizio immediatamente dopo l’ultimazione delle operazioni di gara</w:t>
      </w:r>
      <w:r w:rsidR="004F3ED3"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D62814" w:rsidP="004F3ED3">
      <w:pPr>
        <w:suppressAutoHyphens/>
        <w:jc w:val="both"/>
        <w:rPr>
          <w:b/>
          <w:sz w:val="22"/>
          <w:szCs w:val="22"/>
          <w:lang w:eastAsia="ar-SA"/>
        </w:rPr>
      </w:pPr>
      <w:r>
        <w:rPr>
          <w:b/>
          <w:sz w:val="22"/>
          <w:szCs w:val="22"/>
          <w:lang w:eastAsia="ar-SA"/>
        </w:rPr>
        <w:t>E</w:t>
      </w:r>
      <w:bookmarkStart w:id="0" w:name="_GoBack"/>
      <w:bookmarkEnd w:id="0"/>
      <w:r w:rsidR="004F3ED3" w:rsidRPr="004F3ED3">
        <w:rPr>
          <w:b/>
          <w:sz w:val="22"/>
          <w:szCs w:val="22"/>
          <w:lang w:eastAsia="ar-SA"/>
        </w:rPr>
        <w:t>) di autorizzare il trattamento dei dati personali riportati nella presente dichiarazione limitatamente alla gara in oggetto,</w:t>
      </w:r>
      <w:r w:rsidR="004F3ED3" w:rsidRPr="004F3ED3">
        <w:rPr>
          <w:sz w:val="22"/>
          <w:szCs w:val="22"/>
          <w:lang w:eastAsia="ar-SA"/>
        </w:rPr>
        <w:t xml:space="preserve"> ai sensi dell’art. 23 </w:t>
      </w:r>
      <w:proofErr w:type="spellStart"/>
      <w:r w:rsidR="004F3ED3" w:rsidRPr="004F3ED3">
        <w:rPr>
          <w:sz w:val="22"/>
          <w:szCs w:val="22"/>
          <w:lang w:eastAsia="ar-SA"/>
        </w:rPr>
        <w:t>D.Lgs</w:t>
      </w:r>
      <w:proofErr w:type="spellEnd"/>
      <w:r w:rsidR="004F3ED3" w:rsidRPr="004F3ED3">
        <w:rPr>
          <w:sz w:val="22"/>
          <w:szCs w:val="22"/>
          <w:lang w:eastAsia="ar-SA"/>
        </w:rPr>
        <w:t xml:space="preserve"> 196/2003,  e dichiara altresì,di essere informato ai sensi e per gli effetti di cui all’art. 13 del D. </w:t>
      </w:r>
      <w:proofErr w:type="spellStart"/>
      <w:r w:rsidR="004F3ED3" w:rsidRPr="004F3ED3">
        <w:rPr>
          <w:sz w:val="22"/>
          <w:szCs w:val="22"/>
          <w:lang w:eastAsia="ar-SA"/>
        </w:rPr>
        <w:t>Lgs</w:t>
      </w:r>
      <w:proofErr w:type="spellEnd"/>
      <w:r w:rsidR="004F3ED3" w:rsidRPr="004F3ED3">
        <w:rPr>
          <w:sz w:val="22"/>
          <w:szCs w:val="22"/>
          <w:lang w:eastAsia="ar-SA"/>
        </w:rPr>
        <w:t xml:space="preserve">. 30.06.2003 n. 196 e </w:t>
      </w:r>
      <w:proofErr w:type="spellStart"/>
      <w:r w:rsidR="004F3ED3" w:rsidRPr="004F3ED3">
        <w:rPr>
          <w:sz w:val="22"/>
          <w:szCs w:val="22"/>
          <w:lang w:eastAsia="ar-SA"/>
        </w:rPr>
        <w:t>s.m.i</w:t>
      </w:r>
      <w:proofErr w:type="spellEnd"/>
      <w:r w:rsidR="004F3ED3"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possono essere esercitati tutti i diritti  previsti dall’art.7 dello stesso decreto;</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titolare del trattamento dei dati è l’Università degli studi di Napoli Federico II – Dipartimento di Agraria</w:t>
      </w:r>
    </w:p>
    <w:p w:rsidR="004F3ED3" w:rsidRPr="004F3ED3" w:rsidRDefault="004F3ED3" w:rsidP="004F3ED3">
      <w:pPr>
        <w:suppressAutoHyphens/>
        <w:autoSpaceDN w:val="0"/>
        <w:jc w:val="both"/>
        <w:rPr>
          <w:b/>
          <w:sz w:val="22"/>
          <w:szCs w:val="22"/>
          <w:lang w:eastAsia="ar-SA"/>
        </w:rPr>
      </w:pPr>
    </w:p>
    <w:p w:rsidR="004F3ED3" w:rsidRPr="004F3ED3" w:rsidRDefault="004F3ED3" w:rsidP="004F3ED3">
      <w:pPr>
        <w:suppressAutoHyphens/>
        <w:autoSpaceDN w:val="0"/>
        <w:jc w:val="both"/>
        <w:rPr>
          <w:b/>
          <w:sz w:val="22"/>
          <w:szCs w:val="22"/>
          <w:lang w:eastAsia="ar-SA"/>
        </w:rPr>
      </w:pPr>
      <w:r w:rsidRPr="004F3ED3">
        <w:rPr>
          <w:b/>
          <w:sz w:val="22"/>
          <w:szCs w:val="22"/>
          <w:lang w:eastAsia="ar-SA"/>
        </w:rPr>
        <w:t>_______________lì________________</w:t>
      </w:r>
    </w:p>
    <w:p w:rsidR="004F3ED3" w:rsidRP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rsidR="004F3ED3" w:rsidRPr="004F3ED3" w:rsidRDefault="004F3ED3" w:rsidP="004F3ED3">
      <w:pPr>
        <w:suppressAutoHyphens/>
        <w:ind w:left="284"/>
        <w:jc w:val="center"/>
        <w:rPr>
          <w:i/>
          <w:sz w:val="22"/>
          <w:szCs w:val="22"/>
          <w:lang w:eastAsia="ar-SA"/>
        </w:rPr>
      </w:pP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lastRenderedPageBreak/>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 xml:space="preserve">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sufficienteallegare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p>
    <w:sectPr w:rsidR="004F784C" w:rsidRPr="00F64DD4" w:rsidSect="00B819E6">
      <w:footerReference w:type="even" r:id="rId9"/>
      <w:footerReference w:type="default" r:id="rId10"/>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1A" w:rsidRDefault="00F6141A">
      <w:r>
        <w:separator/>
      </w:r>
    </w:p>
  </w:endnote>
  <w:endnote w:type="continuationSeparator" w:id="0">
    <w:p w:rsidR="00F6141A" w:rsidRDefault="00F6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4A08E1"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D62814">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4A08E1"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A612F7">
      <w:rPr>
        <w:rStyle w:val="Numeropagina"/>
        <w:noProof/>
      </w:rPr>
      <w:t>1</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1A" w:rsidRDefault="00F6141A">
      <w:r>
        <w:separator/>
      </w:r>
    </w:p>
  </w:footnote>
  <w:footnote w:type="continuationSeparator" w:id="0">
    <w:p w:rsidR="00F6141A" w:rsidRDefault="00F6141A">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rsidRPr="00020DA4">
        <w:rPr>
          <w:rFonts w:asciiTheme="minorHAnsi" w:hAnsiTheme="minorHAnsi" w:cstheme="minorHAnsi"/>
        </w:rPr>
        <w:t xml:space="preserve">Ai sensi dell’art. 80, comma 4, del </w:t>
      </w:r>
      <w:proofErr w:type="spellStart"/>
      <w:r w:rsidRPr="00020DA4">
        <w:rPr>
          <w:rFonts w:asciiTheme="minorHAnsi" w:hAnsiTheme="minorHAnsi" w:cstheme="minorHAnsi"/>
        </w:rPr>
        <w:t>D.Lgs.</w:t>
      </w:r>
      <w:proofErr w:type="spellEnd"/>
      <w:r w:rsidRPr="00020DA4">
        <w:rPr>
          <w:rFonts w:asciiTheme="minorHAnsi" w:hAnsiTheme="minorHAnsi" w:cstheme="minorHAnsi"/>
        </w:rPr>
        <w:t xml:space="preserve">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30CB3"/>
    <w:rsid w:val="00002E7F"/>
    <w:rsid w:val="00004097"/>
    <w:rsid w:val="000103FE"/>
    <w:rsid w:val="00011B69"/>
    <w:rsid w:val="00020DA4"/>
    <w:rsid w:val="00025D20"/>
    <w:rsid w:val="0002680A"/>
    <w:rsid w:val="00026A43"/>
    <w:rsid w:val="0003091A"/>
    <w:rsid w:val="00031B03"/>
    <w:rsid w:val="00033B93"/>
    <w:rsid w:val="00044B84"/>
    <w:rsid w:val="000460BA"/>
    <w:rsid w:val="00052253"/>
    <w:rsid w:val="0005583B"/>
    <w:rsid w:val="000639BC"/>
    <w:rsid w:val="00075CEB"/>
    <w:rsid w:val="00081C77"/>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1752"/>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08E1"/>
    <w:rsid w:val="004A3CC0"/>
    <w:rsid w:val="004B1F21"/>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4B2D"/>
    <w:rsid w:val="00575181"/>
    <w:rsid w:val="0057677E"/>
    <w:rsid w:val="00576C37"/>
    <w:rsid w:val="00577D27"/>
    <w:rsid w:val="005827BE"/>
    <w:rsid w:val="00583838"/>
    <w:rsid w:val="005851C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2B34"/>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D61C2"/>
    <w:rsid w:val="008E2ED0"/>
    <w:rsid w:val="008E4E38"/>
    <w:rsid w:val="00903A52"/>
    <w:rsid w:val="00907F55"/>
    <w:rsid w:val="009130DA"/>
    <w:rsid w:val="009141FE"/>
    <w:rsid w:val="00921F45"/>
    <w:rsid w:val="009224BA"/>
    <w:rsid w:val="0092692B"/>
    <w:rsid w:val="00930A78"/>
    <w:rsid w:val="00931BA9"/>
    <w:rsid w:val="00934826"/>
    <w:rsid w:val="00953D12"/>
    <w:rsid w:val="00957E68"/>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12F7"/>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4D92"/>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478A8"/>
    <w:rsid w:val="00C53DE0"/>
    <w:rsid w:val="00C55C92"/>
    <w:rsid w:val="00C672A1"/>
    <w:rsid w:val="00C703F2"/>
    <w:rsid w:val="00C70478"/>
    <w:rsid w:val="00C7096A"/>
    <w:rsid w:val="00C74273"/>
    <w:rsid w:val="00C85C91"/>
    <w:rsid w:val="00C93A7A"/>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2814"/>
    <w:rsid w:val="00D63AD6"/>
    <w:rsid w:val="00D666F1"/>
    <w:rsid w:val="00D67BC0"/>
    <w:rsid w:val="00D67F24"/>
    <w:rsid w:val="00D748EE"/>
    <w:rsid w:val="00D749E0"/>
    <w:rsid w:val="00D7514A"/>
    <w:rsid w:val="00D762F9"/>
    <w:rsid w:val="00D804D0"/>
    <w:rsid w:val="00D84E0F"/>
    <w:rsid w:val="00D84E23"/>
    <w:rsid w:val="00D85865"/>
    <w:rsid w:val="00D91765"/>
    <w:rsid w:val="00D96568"/>
    <w:rsid w:val="00DA081F"/>
    <w:rsid w:val="00DA0FEE"/>
    <w:rsid w:val="00DA49CC"/>
    <w:rsid w:val="00DB2743"/>
    <w:rsid w:val="00DB5E9E"/>
    <w:rsid w:val="00DD01F2"/>
    <w:rsid w:val="00DD1F67"/>
    <w:rsid w:val="00DD3EB2"/>
    <w:rsid w:val="00DD5CE6"/>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E79E6"/>
    <w:rsid w:val="00EF098B"/>
    <w:rsid w:val="00F138CF"/>
    <w:rsid w:val="00F16DEB"/>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0B12"/>
    <w:rsid w:val="00F94F3A"/>
    <w:rsid w:val="00FA6188"/>
    <w:rsid w:val="00FB17F9"/>
    <w:rsid w:val="00FB24A1"/>
    <w:rsid w:val="00FB4F09"/>
    <w:rsid w:val="00FB7164"/>
    <w:rsid w:val="00FC0012"/>
    <w:rsid w:val="00FC1D5E"/>
    <w:rsid w:val="00FC26F7"/>
    <w:rsid w:val="00FE4527"/>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8E1"/>
  </w:style>
  <w:style w:type="paragraph" w:styleId="Titolo1">
    <w:name w:val="heading 1"/>
    <w:basedOn w:val="Normale"/>
    <w:next w:val="Normale"/>
    <w:qFormat/>
    <w:rsid w:val="004A08E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4A08E1"/>
    <w:pPr>
      <w:jc w:val="both"/>
    </w:pPr>
    <w:rPr>
      <w:rFonts w:ascii="Garamond" w:hAnsi="Garamond"/>
      <w:b/>
      <w:sz w:val="24"/>
    </w:rPr>
  </w:style>
  <w:style w:type="paragraph" w:styleId="Corpodeltesto2">
    <w:name w:val="Body Text 2"/>
    <w:basedOn w:val="Normale"/>
    <w:link w:val="Corpodeltesto2Carattere"/>
    <w:rsid w:val="004A08E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A98D-5175-4F2B-ABF8-4031F20E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1759</Words>
  <Characters>10793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12527</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LOQUACE</cp:lastModifiedBy>
  <cp:revision>15</cp:revision>
  <cp:lastPrinted>2017-03-14T08:58:00Z</cp:lastPrinted>
  <dcterms:created xsi:type="dcterms:W3CDTF">2017-03-28T20:43:00Z</dcterms:created>
  <dcterms:modified xsi:type="dcterms:W3CDTF">2017-08-04T11:49:00Z</dcterms:modified>
</cp:coreProperties>
</file>